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53713" w14:textId="77777777" w:rsidR="0093738B" w:rsidRDefault="0093738B" w:rsidP="0093738B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b/>
          <w:bCs/>
          <w:sz w:val="24"/>
          <w:szCs w:val="24"/>
        </w:rPr>
        <w:t>VI.</w:t>
      </w:r>
    </w:p>
    <w:p w14:paraId="2BEEA1FB" w14:textId="77777777" w:rsidR="0093738B" w:rsidRDefault="0093738B" w:rsidP="0093738B">
      <w:pPr>
        <w:autoSpaceDE w:val="0"/>
        <w:autoSpaceDN w:val="0"/>
        <w:adjustRightInd w:val="0"/>
        <w:jc w:val="center"/>
        <w:rPr>
          <w:rFonts w:ascii="Palatino Linotype" w:hAnsi="Palatino Linotype" w:cs="Times New Roman"/>
          <w:sz w:val="28"/>
          <w:szCs w:val="24"/>
        </w:rPr>
      </w:pPr>
      <w:r>
        <w:rPr>
          <w:rFonts w:ascii="Palatino Linotype" w:hAnsi="Palatino Linotype" w:cs="Times New Roman"/>
          <w:b/>
          <w:bCs/>
          <w:sz w:val="28"/>
          <w:szCs w:val="24"/>
        </w:rPr>
        <w:t>Minőségbiztosítás</w:t>
      </w:r>
    </w:p>
    <w:p w14:paraId="7CC8EF00" w14:textId="77777777" w:rsidR="0093738B" w:rsidRDefault="0093738B" w:rsidP="0093738B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sz w:val="24"/>
          <w:szCs w:val="24"/>
        </w:rPr>
      </w:pPr>
    </w:p>
    <w:p w14:paraId="4385C484" w14:textId="77777777" w:rsidR="0093738B" w:rsidRDefault="0093738B" w:rsidP="0093738B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i/>
          <w:iCs/>
          <w:sz w:val="24"/>
          <w:szCs w:val="24"/>
        </w:rPr>
      </w:pPr>
      <w:r>
        <w:rPr>
          <w:rFonts w:ascii="Palatino Linotype" w:hAnsi="Palatino Linotype" w:cs="Times New Roman"/>
          <w:i/>
          <w:iCs/>
          <w:sz w:val="24"/>
          <w:szCs w:val="24"/>
        </w:rPr>
        <w:t>48.§ „A doktori képzés minőségbiztosítási rendszere az Egyetem minőségbiztosítási rendszerének része. Az EDHT kialakítja a doktori képzés és fokozatszerzés minőségbiztosításának elveit és módszereit. A doktori minőségbiztosítás működésének részletszabályait és szervezeti rendjét az egyes doktori iskolák maguk állapítják meg.” (</w:t>
      </w:r>
      <w:proofErr w:type="spellStart"/>
      <w:r>
        <w:rPr>
          <w:rFonts w:ascii="Palatino Linotype" w:hAnsi="Palatino Linotype" w:cs="Times New Roman"/>
          <w:i/>
          <w:iCs/>
          <w:sz w:val="24"/>
          <w:szCs w:val="24"/>
        </w:rPr>
        <w:t>DSz</w:t>
      </w:r>
      <w:proofErr w:type="spellEnd"/>
      <w:r>
        <w:rPr>
          <w:rFonts w:ascii="Palatino Linotype" w:hAnsi="Palatino Linotype" w:cs="Times New Roman"/>
          <w:i/>
          <w:iCs/>
          <w:sz w:val="24"/>
          <w:szCs w:val="24"/>
        </w:rPr>
        <w:t xml:space="preserve"> 64.§ 1) </w:t>
      </w:r>
    </w:p>
    <w:p w14:paraId="7DD0DCFB" w14:textId="77777777" w:rsidR="0093738B" w:rsidRDefault="0093738B" w:rsidP="0093738B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49.§ (1) HDHT minőségbiztosítási feladatai: </w:t>
      </w:r>
    </w:p>
    <w:p w14:paraId="50BA9201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- Kialakítja a tématerületekhez kapcsolódó oktatási programokat, ezeket rendszeresen felülvizsgálja, értékeli.</w:t>
      </w:r>
    </w:p>
    <w:p w14:paraId="207FFDEB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Véleményezi a doktori témahirdetéseket.</w:t>
      </w:r>
    </w:p>
    <w:p w14:paraId="693CD3C5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Meghatározza a komplex vizsga tárgyait.</w:t>
      </w:r>
    </w:p>
    <w:p w14:paraId="5D951DA2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Rendszeresen értékeli a doktoranduszok munkáját.</w:t>
      </w:r>
    </w:p>
    <w:p w14:paraId="3C9EAD5D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Ellenőrzi hallgatók által teljesítendő kreditpontok megszerzését.</w:t>
      </w:r>
    </w:p>
    <w:p w14:paraId="2E6D96A3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-</w:t>
      </w:r>
      <w:r>
        <w:rPr>
          <w:rFonts w:ascii="Palatino Linotype" w:hAnsi="Palatino Linotype" w:cs="Times New Roman"/>
          <w:sz w:val="24"/>
          <w:szCs w:val="24"/>
        </w:rPr>
        <w:tab/>
        <w:t>Doktorandusz konferencia biztosításával rendszeresen bemutatja és megvitatja a nyilvánosság előtt a hallgatók tudományos eredményeit.</w:t>
      </w:r>
    </w:p>
    <w:p w14:paraId="3D38BA7D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Munkahelyi vitán bemutatja és megvitatja a benyújtás előtt álló doktori disszertációt.</w:t>
      </w:r>
    </w:p>
    <w:p w14:paraId="44572DFE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 xml:space="preserve">Az oktatói munkára vonatkozóan a doktoranduszok véleményét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félévente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kérdőíven kéri ki.</w:t>
      </w:r>
    </w:p>
    <w:p w14:paraId="5F8C4848" w14:textId="77777777" w:rsidR="0093738B" w:rsidRDefault="0093738B" w:rsidP="0093738B">
      <w:pPr>
        <w:autoSpaceDE w:val="0"/>
        <w:autoSpaceDN w:val="0"/>
        <w:adjustRightInd w:val="0"/>
        <w:spacing w:after="27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Az eredményeket kiértékeli, visszacsatolja és beépíti működésébe.</w:t>
      </w:r>
    </w:p>
    <w:p w14:paraId="23BDD849" w14:textId="77777777" w:rsidR="0093738B" w:rsidRDefault="0093738B" w:rsidP="0093738B">
      <w:pPr>
        <w:autoSpaceDE w:val="0"/>
        <w:autoSpaceDN w:val="0"/>
        <w:adjustRightInd w:val="0"/>
        <w:ind w:left="851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>Évente önértékelő jelentést készít a doktori iskola munkájáról, amelynek elemei: az elmúlt tanévhez képest bekövetkezett változások.</w:t>
      </w:r>
    </w:p>
    <w:p w14:paraId="451F3219" w14:textId="77777777" w:rsidR="0093738B" w:rsidRDefault="0093738B" w:rsidP="0093738B">
      <w:pPr>
        <w:autoSpaceDE w:val="0"/>
        <w:autoSpaceDN w:val="0"/>
        <w:adjustRightInd w:val="0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(2) További folyamatos minőségbiztosítást tesz lehetővé, hogy </w:t>
      </w:r>
    </w:p>
    <w:p w14:paraId="58D1D128" w14:textId="77777777" w:rsidR="0093738B" w:rsidRDefault="0093738B" w:rsidP="0093738B">
      <w:pPr>
        <w:autoSpaceDE w:val="0"/>
        <w:autoSpaceDN w:val="0"/>
        <w:adjustRightInd w:val="0"/>
        <w:ind w:left="568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  <w:t xml:space="preserve">a felvételi feltételek meglétét minden esetben dokumentálni kell, </w:t>
      </w:r>
    </w:p>
    <w:p w14:paraId="0451D0D7" w14:textId="77777777" w:rsidR="0093738B" w:rsidRDefault="0093738B" w:rsidP="0093738B">
      <w:pPr>
        <w:autoSpaceDE w:val="0"/>
        <w:autoSpaceDN w:val="0"/>
        <w:adjustRightInd w:val="0"/>
        <w:ind w:left="568" w:hanging="284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- a képzési rend szerves részét képezik a nyilvános beszámolók,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szemesz</w:t>
      </w:r>
      <w:r>
        <w:rPr>
          <w:rFonts w:ascii="Palatino Linotype" w:hAnsi="Palatino Linotype" w:cs="Times New Roman"/>
          <w:sz w:val="24"/>
          <w:szCs w:val="24"/>
        </w:rPr>
        <w:softHyphen/>
        <w:t>terenkénti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fejezetvédések, disszertációhipotézis-védések, szakmai viták,</w:t>
      </w:r>
    </w:p>
    <w:p w14:paraId="51C56B65" w14:textId="77777777" w:rsidR="0093738B" w:rsidRDefault="0093738B" w:rsidP="0093738B">
      <w:pPr>
        <w:autoSpaceDE w:val="0"/>
        <w:autoSpaceDN w:val="0"/>
        <w:adjustRightInd w:val="0"/>
        <w:ind w:left="568" w:hanging="284"/>
        <w:jc w:val="both"/>
        <w:rPr>
          <w:rFonts w:ascii="Palatino Linotype" w:hAnsi="Palatino Linotype" w:cs="Times New Roman"/>
          <w:sz w:val="24"/>
          <w:szCs w:val="23"/>
        </w:rPr>
      </w:pPr>
      <w:r>
        <w:rPr>
          <w:rFonts w:ascii="Palatino Linotype" w:hAnsi="Palatino Linotype" w:cs="Times New Roman"/>
          <w:sz w:val="24"/>
          <w:szCs w:val="24"/>
        </w:rPr>
        <w:t xml:space="preserve">-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3"/>
        </w:rPr>
        <w:t>az értekezés benyújtását és opponens elé bocsátását minden indokolt esetben megelőzi a nyilvános munkahelyi vita</w:t>
      </w:r>
    </w:p>
    <w:p w14:paraId="4EAB000B" w14:textId="5EBD61F3" w:rsidR="00110F43" w:rsidRPr="0028647F" w:rsidRDefault="0093738B" w:rsidP="0093738B">
      <w:pPr>
        <w:autoSpaceDE w:val="0"/>
        <w:autoSpaceDN w:val="0"/>
        <w:adjustRightInd w:val="0"/>
        <w:jc w:val="both"/>
      </w:pPr>
      <w:r>
        <w:rPr>
          <w:rFonts w:ascii="Palatino Linotype" w:hAnsi="Palatino Linotype" w:cs="Times New Roman"/>
          <w:sz w:val="24"/>
          <w:szCs w:val="23"/>
        </w:rPr>
        <w:t>(3)</w:t>
      </w:r>
      <w:r>
        <w:rPr>
          <w:rFonts w:ascii="Palatino Linotype" w:hAnsi="Palatino Linotype" w:cs="Times New Roman"/>
          <w:sz w:val="24"/>
          <w:szCs w:val="23"/>
          <w:vertAlign w:val="superscript"/>
        </w:rPr>
        <w:footnoteReference w:id="1"/>
      </w:r>
      <w:r>
        <w:rPr>
          <w:rFonts w:ascii="Palatino Linotype" w:hAnsi="Palatino Linotype" w:cs="Times New Roman"/>
          <w:sz w:val="24"/>
          <w:szCs w:val="23"/>
        </w:rPr>
        <w:t xml:space="preserve"> A minőségbiztosítás folyamatos figyelemmel kísérése érdekében a HDHT 3-5 fős Doktori Minőségbiztosítási Bizottságot (DMB) hoz létre. A DMB tagjai közül a HDI vezetője minőségirányítási vezetőt kérhet fel. </w:t>
      </w:r>
    </w:p>
    <w:sectPr w:rsidR="00110F43" w:rsidRPr="002864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FAAED" w14:textId="77777777" w:rsidR="00120C11" w:rsidRDefault="00120C11" w:rsidP="00120C11">
      <w:pPr>
        <w:spacing w:after="0" w:line="240" w:lineRule="auto"/>
      </w:pPr>
      <w:r>
        <w:separator/>
      </w:r>
    </w:p>
  </w:endnote>
  <w:endnote w:type="continuationSeparator" w:id="0">
    <w:p w14:paraId="73E986F9" w14:textId="77777777" w:rsidR="00120C11" w:rsidRDefault="00120C11" w:rsidP="0012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E72F" w14:textId="77777777" w:rsidR="00120C11" w:rsidRDefault="00120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6E25" w14:textId="77777777" w:rsidR="00120C11" w:rsidRDefault="00120C11" w:rsidP="00120C11">
      <w:pPr>
        <w:spacing w:after="0" w:line="240" w:lineRule="auto"/>
      </w:pPr>
      <w:r>
        <w:separator/>
      </w:r>
    </w:p>
  </w:footnote>
  <w:footnote w:type="continuationSeparator" w:id="0">
    <w:p w14:paraId="5F640806" w14:textId="77777777" w:rsidR="00120C11" w:rsidRDefault="00120C11" w:rsidP="00120C11">
      <w:pPr>
        <w:spacing w:after="0" w:line="240" w:lineRule="auto"/>
      </w:pPr>
      <w:r>
        <w:continuationSeparator/>
      </w:r>
    </w:p>
  </w:footnote>
  <w:footnote w:id="1">
    <w:p w14:paraId="470061B6" w14:textId="77777777" w:rsidR="0093738B" w:rsidRDefault="0093738B" w:rsidP="0093738B">
      <w:pPr>
        <w:pStyle w:val="Lbjegyzetszveg"/>
      </w:pPr>
      <w:r>
        <w:rPr>
          <w:rStyle w:val="Lbjegyzet-hivatkozs"/>
        </w:rPr>
        <w:footnoteRef/>
      </w:r>
      <w:r>
        <w:t xml:space="preserve"> Beillesztette a Szenátus 52/2020. (III.30.) számú határozata, hatályos 2020. március 30. napjától.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924"/>
    <w:multiLevelType w:val="hybridMultilevel"/>
    <w:tmpl w:val="88209A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D3A"/>
    <w:multiLevelType w:val="hybridMultilevel"/>
    <w:tmpl w:val="62BE6AE0"/>
    <w:lvl w:ilvl="0" w:tplc="77D6A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ABC"/>
    <w:multiLevelType w:val="hybridMultilevel"/>
    <w:tmpl w:val="62BE6AE0"/>
    <w:lvl w:ilvl="0" w:tplc="77D6A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F247C"/>
    <w:multiLevelType w:val="hybridMultilevel"/>
    <w:tmpl w:val="DDF21F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55FC"/>
    <w:multiLevelType w:val="hybridMultilevel"/>
    <w:tmpl w:val="26EEC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858078">
    <w:abstractNumId w:val="1"/>
  </w:num>
  <w:num w:numId="2" w16cid:durableId="145168331">
    <w:abstractNumId w:val="2"/>
  </w:num>
  <w:num w:numId="3" w16cid:durableId="1699695260">
    <w:abstractNumId w:val="4"/>
  </w:num>
  <w:num w:numId="4" w16cid:durableId="1315455341">
    <w:abstractNumId w:val="0"/>
  </w:num>
  <w:num w:numId="5" w16cid:durableId="8167992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65"/>
    <w:rsid w:val="00110F43"/>
    <w:rsid w:val="00120C11"/>
    <w:rsid w:val="00246F65"/>
    <w:rsid w:val="00285761"/>
    <w:rsid w:val="0028647F"/>
    <w:rsid w:val="002B7C9C"/>
    <w:rsid w:val="0038712D"/>
    <w:rsid w:val="00466E2A"/>
    <w:rsid w:val="004F1290"/>
    <w:rsid w:val="00510DDD"/>
    <w:rsid w:val="005156A4"/>
    <w:rsid w:val="005372EE"/>
    <w:rsid w:val="00596DC3"/>
    <w:rsid w:val="0077799C"/>
    <w:rsid w:val="0093738B"/>
    <w:rsid w:val="009A3414"/>
    <w:rsid w:val="00AC02DC"/>
    <w:rsid w:val="00AF08C4"/>
    <w:rsid w:val="00B202E6"/>
    <w:rsid w:val="00B6077C"/>
    <w:rsid w:val="00C6559A"/>
    <w:rsid w:val="00CD01DE"/>
    <w:rsid w:val="00F72527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21F"/>
  <w15:chartTrackingRefBased/>
  <w15:docId w15:val="{C83FBC77-1FEC-414D-81E0-7C9DA5E7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0F43"/>
    <w:pPr>
      <w:spacing w:line="252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53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7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7252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72527"/>
    <w:rPr>
      <w:b/>
      <w:bCs/>
    </w:rPr>
  </w:style>
  <w:style w:type="paragraph" w:styleId="Listaszerbekezds">
    <w:name w:val="List Paragraph"/>
    <w:basedOn w:val="Norml"/>
    <w:uiPriority w:val="34"/>
    <w:qFormat/>
    <w:rsid w:val="00F72527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F72527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2B7C9C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5156A4"/>
  </w:style>
  <w:style w:type="character" w:styleId="Mrltotthiperhivatkozs">
    <w:name w:val="FollowedHyperlink"/>
    <w:basedOn w:val="Bekezdsalapbettpusa"/>
    <w:uiPriority w:val="99"/>
    <w:semiHidden/>
    <w:unhideWhenUsed/>
    <w:rsid w:val="00B6077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2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0C1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2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0C11"/>
    <w:rPr>
      <w:rFonts w:ascii="Calibri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0C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0C11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0C11"/>
    <w:rPr>
      <w:vertAlign w:val="superscript"/>
    </w:rPr>
  </w:style>
  <w:style w:type="character" w:customStyle="1" w:styleId="xexx8yu">
    <w:name w:val="xexx8yu"/>
    <w:basedOn w:val="Bekezdsalapbettpusa"/>
    <w:rsid w:val="00FD0451"/>
  </w:style>
  <w:style w:type="character" w:customStyle="1" w:styleId="Cmsor1Char">
    <w:name w:val="Címsor 1 Char"/>
    <w:basedOn w:val="Bekezdsalapbettpusa"/>
    <w:link w:val="Cmsor1"/>
    <w:uiPriority w:val="9"/>
    <w:rsid w:val="005372E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5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6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5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82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7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324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0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0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298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35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77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3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8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1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4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5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3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3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2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5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21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4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C9CE-8A78-493A-A788-082EFA24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Sógor Éva</dc:creator>
  <cp:keywords/>
  <dc:description/>
  <cp:lastModifiedBy>Sógor Éva</cp:lastModifiedBy>
  <cp:revision>2</cp:revision>
  <cp:lastPrinted>2022-04-14T09:04:00Z</cp:lastPrinted>
  <dcterms:created xsi:type="dcterms:W3CDTF">2024-03-12T09:53:00Z</dcterms:created>
  <dcterms:modified xsi:type="dcterms:W3CDTF">2024-03-12T09:53:00Z</dcterms:modified>
</cp:coreProperties>
</file>