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F9BF" w14:textId="6C952F17" w:rsidR="00FA2DCC" w:rsidRPr="009B443F" w:rsidRDefault="009B443F" w:rsidP="009B443F">
      <w:pPr>
        <w:spacing w:after="0" w:line="280" w:lineRule="exact"/>
        <w:jc w:val="center"/>
        <w:rPr>
          <w:rFonts w:ascii="Times New Roman" w:hAnsi="Times New Roman" w:cs="Times New Roman"/>
          <w:b/>
          <w:bCs/>
          <w:sz w:val="28"/>
          <w:szCs w:val="28"/>
        </w:rPr>
      </w:pPr>
      <w:r>
        <w:rPr>
          <w:rFonts w:ascii="Times New Roman" w:hAnsi="Times New Roman" w:cs="Times New Roman"/>
          <w:b/>
          <w:bCs/>
          <w:sz w:val="28"/>
          <w:szCs w:val="28"/>
        </w:rPr>
        <w:t>KRE HTK é</w:t>
      </w:r>
      <w:r w:rsidR="00FA2DCC" w:rsidRPr="009B443F">
        <w:rPr>
          <w:rFonts w:ascii="Times New Roman" w:hAnsi="Times New Roman" w:cs="Times New Roman"/>
          <w:b/>
          <w:bCs/>
          <w:sz w:val="28"/>
          <w:szCs w:val="28"/>
        </w:rPr>
        <w:t>ves minőségfejlesztési jelentés</w:t>
      </w:r>
      <w:r>
        <w:rPr>
          <w:rFonts w:ascii="Times New Roman" w:hAnsi="Times New Roman" w:cs="Times New Roman"/>
          <w:b/>
          <w:bCs/>
          <w:sz w:val="28"/>
          <w:szCs w:val="28"/>
        </w:rPr>
        <w:t xml:space="preserve"> 2025</w:t>
      </w:r>
    </w:p>
    <w:p w14:paraId="06828427" w14:textId="77777777" w:rsidR="00FA2DCC" w:rsidRDefault="00FA2DCC" w:rsidP="00FA2DCC">
      <w:pPr>
        <w:spacing w:after="0" w:line="280" w:lineRule="exact"/>
        <w:rPr>
          <w:rFonts w:ascii="Times New Roman" w:hAnsi="Times New Roman" w:cs="Times New Roman"/>
          <w:sz w:val="24"/>
          <w:szCs w:val="24"/>
        </w:rPr>
      </w:pPr>
    </w:p>
    <w:p w14:paraId="560ABA36" w14:textId="77777777" w:rsidR="009B443F" w:rsidRDefault="009B443F" w:rsidP="00FA2DCC">
      <w:pPr>
        <w:spacing w:after="0" w:line="280" w:lineRule="exact"/>
        <w:rPr>
          <w:rFonts w:ascii="Times New Roman" w:hAnsi="Times New Roman" w:cs="Times New Roman"/>
          <w:sz w:val="24"/>
          <w:szCs w:val="24"/>
        </w:rPr>
      </w:pPr>
    </w:p>
    <w:p w14:paraId="4E5A845F" w14:textId="77777777" w:rsidR="009B443F" w:rsidRPr="009B443F" w:rsidRDefault="009B443F" w:rsidP="00FA2DCC">
      <w:pPr>
        <w:spacing w:after="0" w:line="280" w:lineRule="exact"/>
        <w:rPr>
          <w:rFonts w:ascii="Times New Roman" w:hAnsi="Times New Roman" w:cs="Times New Roman"/>
          <w:sz w:val="24"/>
          <w:szCs w:val="24"/>
        </w:rPr>
      </w:pPr>
    </w:p>
    <w:p w14:paraId="5CA46EDB" w14:textId="0C055C10" w:rsidR="00FA2DCC" w:rsidRPr="009B443F" w:rsidRDefault="00FA2DCC" w:rsidP="00FA2DCC">
      <w:pPr>
        <w:spacing w:after="0" w:line="280" w:lineRule="exact"/>
        <w:rPr>
          <w:rFonts w:ascii="Times New Roman" w:hAnsi="Times New Roman" w:cs="Times New Roman"/>
          <w:sz w:val="24"/>
          <w:szCs w:val="24"/>
        </w:rPr>
      </w:pPr>
      <w:r w:rsidRPr="009B443F">
        <w:rPr>
          <w:rFonts w:ascii="Times New Roman" w:hAnsi="Times New Roman" w:cs="Times New Roman"/>
          <w:b/>
          <w:bCs/>
          <w:sz w:val="24"/>
          <w:szCs w:val="24"/>
        </w:rPr>
        <w:t>1. A minőségbiztosítási rendszer fejlesztésével kapcsolatos minőségcélok és teljesülésük</w:t>
      </w:r>
      <w:r w:rsidRPr="009B443F">
        <w:rPr>
          <w:rFonts w:ascii="Times New Roman" w:hAnsi="Times New Roman" w:cs="Times New Roman"/>
          <w:sz w:val="24"/>
          <w:szCs w:val="24"/>
        </w:rPr>
        <w:t xml:space="preserve"> </w:t>
      </w:r>
      <w:r w:rsidR="009B443F" w:rsidRPr="009B443F">
        <w:rPr>
          <w:rFonts w:ascii="Times New Roman" w:hAnsi="Times New Roman" w:cs="Times New Roman"/>
          <w:sz w:val="24"/>
          <w:szCs w:val="24"/>
        </w:rPr>
        <w:br/>
      </w:r>
      <w:r w:rsidRPr="009B443F">
        <w:rPr>
          <w:rFonts w:ascii="Times New Roman" w:hAnsi="Times New Roman" w:cs="Times New Roman"/>
          <w:sz w:val="24"/>
          <w:szCs w:val="24"/>
        </w:rPr>
        <w:t>(folyamatok, eljárások, dokumentumok, stb.)</w:t>
      </w:r>
    </w:p>
    <w:p w14:paraId="383EB171" w14:textId="77777777" w:rsidR="00062D15" w:rsidRDefault="00062D15" w:rsidP="00FA2DCC">
      <w:pPr>
        <w:spacing w:after="0" w:line="280" w:lineRule="exact"/>
        <w:rPr>
          <w:rFonts w:ascii="Times New Roman" w:hAnsi="Times New Roman" w:cs="Times New Roman"/>
          <w:sz w:val="24"/>
          <w:szCs w:val="24"/>
        </w:rPr>
      </w:pPr>
    </w:p>
    <w:p w14:paraId="5B42C386" w14:textId="77777777" w:rsidR="00462D94" w:rsidRPr="00CB600E" w:rsidRDefault="00462D94" w:rsidP="00462D94">
      <w:pPr>
        <w:rPr>
          <w:rFonts w:ascii="Times New Roman" w:hAnsi="Times New Roman" w:cs="Times New Roman"/>
          <w:i/>
          <w:iCs/>
          <w:sz w:val="24"/>
          <w:szCs w:val="24"/>
        </w:rPr>
      </w:pPr>
      <w:r w:rsidRPr="00CB600E">
        <w:rPr>
          <w:rFonts w:ascii="Times New Roman" w:hAnsi="Times New Roman" w:cs="Times New Roman"/>
          <w:i/>
          <w:iCs/>
          <w:sz w:val="24"/>
          <w:szCs w:val="24"/>
        </w:rPr>
        <w:t>Általános minőségcéljaink</w:t>
      </w:r>
    </w:p>
    <w:p w14:paraId="2B53E417"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 jól szervezett, dokumentált, és az eredményeket visszacsatolás útján hasznosító működés fenntartása.</w:t>
      </w:r>
    </w:p>
    <w:p w14:paraId="4C621C39"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 xml:space="preserve">Jó gyakorlatok megőrzése. </w:t>
      </w:r>
    </w:p>
    <w:p w14:paraId="6AE196B0"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 xml:space="preserve">A MAB intézményi akkreditációs jelentés javaslatainak átültetése a kari gyakorlatokba, felkészülés a következő akkreditációra. </w:t>
      </w:r>
    </w:p>
    <w:p w14:paraId="6B5ED1ED"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 2021-2025 évekre szóló egyetemi stratégia lebontása a HTK életére és működésére.</w:t>
      </w:r>
    </w:p>
    <w:p w14:paraId="2FA851D5"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 xml:space="preserve"> Az aktuális környezeti-társadalmi kihívásokra reagáló, a társadalmi felelősségvállaláshoz és a MRE célkitűzéseihez igazodó oktatási és kutatási tevékenység folytatása.</w:t>
      </w:r>
    </w:p>
    <w:p w14:paraId="67581F09"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Nemzetközi együttműködések, a mobilitás és az idegen nyelvű képzések fejlesztése.</w:t>
      </w:r>
    </w:p>
    <w:p w14:paraId="3AAB8120"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 hallgatók és a külső érintettek bevonása a minőségfejlesztési tevékenységekbe.</w:t>
      </w:r>
    </w:p>
    <w:p w14:paraId="60856ED5" w14:textId="77777777" w:rsidR="00462D94" w:rsidRPr="00CB600E" w:rsidRDefault="00462D94" w:rsidP="00462D94">
      <w:pPr>
        <w:pStyle w:val="Listaszerbekezds"/>
        <w:numPr>
          <w:ilvl w:val="0"/>
          <w:numId w:val="1"/>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 hallgatói minősítés karspecifikus rendszerének felülvizsgálata a Kar által elfogadott intézkedési terv mentén.</w:t>
      </w:r>
    </w:p>
    <w:p w14:paraId="79F9C2C8" w14:textId="77777777" w:rsidR="00462D94" w:rsidRPr="00CB600E" w:rsidRDefault="00462D94" w:rsidP="00462D94">
      <w:pPr>
        <w:rPr>
          <w:rFonts w:ascii="Times New Roman" w:hAnsi="Times New Roman" w:cs="Times New Roman"/>
          <w:i/>
          <w:iCs/>
          <w:sz w:val="24"/>
          <w:szCs w:val="24"/>
        </w:rPr>
      </w:pPr>
      <w:r w:rsidRPr="00CB600E">
        <w:rPr>
          <w:rFonts w:ascii="Times New Roman" w:hAnsi="Times New Roman" w:cs="Times New Roman"/>
          <w:i/>
          <w:iCs/>
          <w:sz w:val="24"/>
          <w:szCs w:val="24"/>
        </w:rPr>
        <w:t>Az oktatók és az oktatás minősége</w:t>
      </w:r>
    </w:p>
    <w:p w14:paraId="7DB277F3" w14:textId="77777777" w:rsidR="00462D94" w:rsidRPr="00CB600E" w:rsidRDefault="00462D94" w:rsidP="00462D94">
      <w:pPr>
        <w:pStyle w:val="Listaszerbekezds"/>
        <w:numPr>
          <w:ilvl w:val="0"/>
          <w:numId w:val="2"/>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Az oktatók, a szak- és tárgyfelelősök minőségének vizsgálata (belső audit, kölcsönös óralátogatások).</w:t>
      </w:r>
    </w:p>
    <w:p w14:paraId="42B0AAE0" w14:textId="77777777" w:rsidR="00462D94" w:rsidRPr="00CB600E" w:rsidRDefault="00462D94" w:rsidP="00462D94">
      <w:pPr>
        <w:pStyle w:val="Listaszerbekezds"/>
        <w:numPr>
          <w:ilvl w:val="0"/>
          <w:numId w:val="2"/>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Az oktatók MAB követelményeknek való megfelelőségének vizsgálata.</w:t>
      </w:r>
    </w:p>
    <w:p w14:paraId="0E98281F" w14:textId="77777777" w:rsidR="00462D94" w:rsidRPr="00CB600E" w:rsidRDefault="00462D94" w:rsidP="00462D94">
      <w:pPr>
        <w:pStyle w:val="Listaszerbekezds"/>
        <w:numPr>
          <w:ilvl w:val="0"/>
          <w:numId w:val="2"/>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Az oktatói és kutatói teljesítményértékelés szempontrendszerének közelítése a valósághoz, a tudományos és fenntartói (egyházi) elvárások összehangolása.</w:t>
      </w:r>
    </w:p>
    <w:p w14:paraId="7E47F171" w14:textId="77777777" w:rsidR="00462D94" w:rsidRPr="00CB600E" w:rsidRDefault="00462D94" w:rsidP="00462D94">
      <w:pPr>
        <w:pStyle w:val="Listaszerbekezds"/>
        <w:numPr>
          <w:ilvl w:val="0"/>
          <w:numId w:val="2"/>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Belső képzések indítása (oktatásinformatikai kompetenciák és a digitális eszközhasználat).</w:t>
      </w:r>
    </w:p>
    <w:p w14:paraId="2906877E" w14:textId="77777777" w:rsidR="00462D94" w:rsidRPr="00CB600E" w:rsidRDefault="00462D94" w:rsidP="00462D94">
      <w:pPr>
        <w:pStyle w:val="Listaszerbekezds"/>
        <w:numPr>
          <w:ilvl w:val="0"/>
          <w:numId w:val="2"/>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Az intézményi hallgatói felmérések (Gólya kérdőív, elégedettségi mérések, OMHV, DPR) eredményeinek visszacsatolása.</w:t>
      </w:r>
    </w:p>
    <w:p w14:paraId="7A88C7F5" w14:textId="77777777" w:rsidR="00462D94" w:rsidRPr="00CB600E" w:rsidRDefault="00462D94" w:rsidP="00462D94">
      <w:pPr>
        <w:rPr>
          <w:rFonts w:ascii="Times New Roman" w:hAnsi="Times New Roman" w:cs="Times New Roman"/>
          <w:sz w:val="24"/>
          <w:szCs w:val="24"/>
        </w:rPr>
      </w:pPr>
      <w:r w:rsidRPr="00CB600E">
        <w:rPr>
          <w:rFonts w:ascii="Times New Roman" w:hAnsi="Times New Roman" w:cs="Times New Roman"/>
          <w:i/>
          <w:iCs/>
          <w:sz w:val="24"/>
          <w:szCs w:val="24"/>
        </w:rPr>
        <w:t>Információkezelés</w:t>
      </w:r>
    </w:p>
    <w:p w14:paraId="6C6C0460" w14:textId="77777777" w:rsidR="00462D94" w:rsidRPr="00CB600E" w:rsidRDefault="00462D94" w:rsidP="00462D94">
      <w:pPr>
        <w:pStyle w:val="Listaszerbekezds"/>
        <w:numPr>
          <w:ilvl w:val="0"/>
          <w:numId w:val="3"/>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 Kar nemzetközi és tudományos láthatóságának erősítése.</w:t>
      </w:r>
    </w:p>
    <w:p w14:paraId="06F0D92E" w14:textId="77777777" w:rsidR="00462D94" w:rsidRPr="00CB600E" w:rsidRDefault="00462D94" w:rsidP="00462D94">
      <w:pPr>
        <w:pStyle w:val="Listaszerbekezds"/>
        <w:numPr>
          <w:ilvl w:val="0"/>
          <w:numId w:val="3"/>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Kari honlap naprakészen tartása.</w:t>
      </w:r>
    </w:p>
    <w:p w14:paraId="60C86864" w14:textId="77777777" w:rsidR="00462D94" w:rsidRPr="00CB600E" w:rsidRDefault="00462D94" w:rsidP="00462D94">
      <w:pPr>
        <w:pStyle w:val="Listaszerbekezds"/>
        <w:numPr>
          <w:ilvl w:val="0"/>
          <w:numId w:val="3"/>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Angol nyelvű honlap fejlesztése.</w:t>
      </w:r>
    </w:p>
    <w:p w14:paraId="21043E90" w14:textId="77777777" w:rsidR="00462D94" w:rsidRPr="00CB600E" w:rsidRDefault="00462D94" w:rsidP="00462D94">
      <w:pPr>
        <w:rPr>
          <w:rFonts w:ascii="Times New Roman" w:hAnsi="Times New Roman" w:cs="Times New Roman"/>
          <w:i/>
          <w:iCs/>
          <w:sz w:val="24"/>
          <w:szCs w:val="24"/>
        </w:rPr>
      </w:pPr>
      <w:r w:rsidRPr="00CB600E">
        <w:rPr>
          <w:rFonts w:ascii="Times New Roman" w:hAnsi="Times New Roman" w:cs="Times New Roman"/>
          <w:i/>
          <w:iCs/>
          <w:sz w:val="24"/>
          <w:szCs w:val="24"/>
        </w:rPr>
        <w:t>Oktatás-kutatás minőségbiztosítása</w:t>
      </w:r>
    </w:p>
    <w:p w14:paraId="3AE0D090" w14:textId="77777777" w:rsidR="00462D94" w:rsidRPr="00CB600E" w:rsidRDefault="00462D94" w:rsidP="00462D94">
      <w:pPr>
        <w:pStyle w:val="Listaszerbekezds"/>
        <w:numPr>
          <w:ilvl w:val="0"/>
          <w:numId w:val="4"/>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Az önértékelés és az éves értékelés rendszerének hatékony működtetése.</w:t>
      </w:r>
    </w:p>
    <w:p w14:paraId="5DADEB45" w14:textId="77777777" w:rsidR="00462D94" w:rsidRPr="00CB600E" w:rsidRDefault="00462D94" w:rsidP="00462D94">
      <w:pPr>
        <w:pStyle w:val="Listaszerbekezds"/>
        <w:numPr>
          <w:ilvl w:val="0"/>
          <w:numId w:val="4"/>
        </w:numPr>
        <w:spacing w:after="200" w:line="276" w:lineRule="auto"/>
        <w:rPr>
          <w:rFonts w:ascii="Times New Roman" w:hAnsi="Times New Roman" w:cs="Times New Roman"/>
          <w:sz w:val="24"/>
          <w:szCs w:val="24"/>
        </w:rPr>
      </w:pPr>
      <w:r w:rsidRPr="00CB600E">
        <w:rPr>
          <w:rFonts w:ascii="Times New Roman" w:hAnsi="Times New Roman" w:cs="Times New Roman"/>
          <w:sz w:val="24"/>
          <w:szCs w:val="24"/>
        </w:rPr>
        <w:t>Együttműködés a doktori MB-i bizottsággal a doktori fokozatszerzés és habilitáció gyakorlatának felülvizsgálat és fejlesztése érdekében.</w:t>
      </w:r>
    </w:p>
    <w:p w14:paraId="23C2A7A1" w14:textId="77777777" w:rsidR="00906207" w:rsidRDefault="00906207" w:rsidP="00FA2DCC">
      <w:pPr>
        <w:spacing w:after="0" w:line="280" w:lineRule="exact"/>
        <w:rPr>
          <w:rFonts w:ascii="Times New Roman" w:hAnsi="Times New Roman" w:cs="Times New Roman"/>
          <w:sz w:val="24"/>
          <w:szCs w:val="24"/>
        </w:rPr>
      </w:pPr>
    </w:p>
    <w:p w14:paraId="4FC618D4" w14:textId="7008FC44" w:rsidR="009B443F" w:rsidRPr="00C91E03" w:rsidRDefault="00462D94" w:rsidP="00FA2DCC">
      <w:pPr>
        <w:spacing w:after="0" w:line="280" w:lineRule="exact"/>
        <w:rPr>
          <w:rFonts w:ascii="Times New Roman" w:hAnsi="Times New Roman" w:cs="Times New Roman"/>
          <w:i/>
          <w:iCs/>
          <w:sz w:val="24"/>
          <w:szCs w:val="24"/>
        </w:rPr>
      </w:pPr>
      <w:r w:rsidRPr="00C91E03">
        <w:rPr>
          <w:rFonts w:ascii="Times New Roman" w:hAnsi="Times New Roman" w:cs="Times New Roman"/>
          <w:i/>
          <w:iCs/>
          <w:sz w:val="24"/>
          <w:szCs w:val="24"/>
        </w:rPr>
        <w:lastRenderedPageBreak/>
        <w:t>Minőségcélok elérését szolgáló folyamatok</w:t>
      </w:r>
    </w:p>
    <w:p w14:paraId="163097AE" w14:textId="77777777" w:rsidR="00462D94" w:rsidRDefault="00462D94" w:rsidP="00FA2DCC">
      <w:pPr>
        <w:spacing w:after="0" w:line="280" w:lineRule="exact"/>
        <w:rPr>
          <w:rFonts w:ascii="Times New Roman" w:hAnsi="Times New Roman" w:cs="Times New Roman"/>
          <w:sz w:val="24"/>
          <w:szCs w:val="24"/>
        </w:rPr>
      </w:pPr>
    </w:p>
    <w:p w14:paraId="1AAB8147" w14:textId="087684F6" w:rsidR="00462D94" w:rsidRDefault="00462D94"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Kari Minőségbiztosítási Bizottság gondoskodik a kari dokumentumok és eljárások harmonizálásról az egyetemi minőségbiztosítási folyamatokkal. Ennek érdekében a KMB vezetője az Egyetemi Minőségbiztosítási Bizottságban tárgyalt, a kart is érintő feladatokról tájékoztatja a dékánt, szükség szerint a Kari Tanácsot, ennek biztosítására minden kari tanácsi ülésnek állandó napirendi pontja a KMB vezetőjének beszámolója</w:t>
      </w:r>
      <w:r w:rsidR="003406A8">
        <w:rPr>
          <w:rFonts w:ascii="Times New Roman" w:hAnsi="Times New Roman" w:cs="Times New Roman"/>
          <w:sz w:val="24"/>
          <w:szCs w:val="24"/>
        </w:rPr>
        <w:t xml:space="preserve">, mely így a Kari Tanács jegyzőkönyvének is része. </w:t>
      </w:r>
    </w:p>
    <w:p w14:paraId="798B9311" w14:textId="77777777" w:rsidR="003406A8" w:rsidRDefault="003406A8" w:rsidP="00FA2DCC">
      <w:pPr>
        <w:spacing w:after="0" w:line="280" w:lineRule="exact"/>
        <w:rPr>
          <w:rFonts w:ascii="Times New Roman" w:hAnsi="Times New Roman" w:cs="Times New Roman"/>
          <w:sz w:val="24"/>
          <w:szCs w:val="24"/>
        </w:rPr>
      </w:pPr>
    </w:p>
    <w:p w14:paraId="648CEEA8" w14:textId="66BABAC7" w:rsidR="003406A8" w:rsidRDefault="003406A8"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minőségcélok meghatározására és az</w:t>
      </w:r>
      <w:r w:rsidR="00B55969">
        <w:rPr>
          <w:rFonts w:ascii="Times New Roman" w:hAnsi="Times New Roman" w:cs="Times New Roman"/>
          <w:sz w:val="24"/>
          <w:szCs w:val="24"/>
        </w:rPr>
        <w:t xml:space="preserve"> ezekhez vezető</w:t>
      </w:r>
      <w:r>
        <w:rPr>
          <w:rFonts w:ascii="Times New Roman" w:hAnsi="Times New Roman" w:cs="Times New Roman"/>
          <w:sz w:val="24"/>
          <w:szCs w:val="24"/>
        </w:rPr>
        <w:t xml:space="preserve"> elérési utak kidolgozására a kar oktatói évente két alkalommal tartanak egynapos, egy alkalommal pedig kétnapos megbeszélést, ahol az éves munka értékelése mellett a legfontosabb feladatokat, célkitűzéseket tárgyalj</w:t>
      </w:r>
      <w:r w:rsidR="00B55969">
        <w:rPr>
          <w:rFonts w:ascii="Times New Roman" w:hAnsi="Times New Roman" w:cs="Times New Roman"/>
          <w:sz w:val="24"/>
          <w:szCs w:val="24"/>
        </w:rPr>
        <w:t>uk meg</w:t>
      </w:r>
      <w:r>
        <w:rPr>
          <w:rFonts w:ascii="Times New Roman" w:hAnsi="Times New Roman" w:cs="Times New Roman"/>
          <w:sz w:val="24"/>
          <w:szCs w:val="24"/>
        </w:rPr>
        <w:t xml:space="preserve">. A januári kétnapos megbeszélés egyik napján a fenntartó képviselete is mindig jelen van, így </w:t>
      </w:r>
      <w:r w:rsidR="00B66A91">
        <w:rPr>
          <w:rFonts w:ascii="Times New Roman" w:hAnsi="Times New Roman" w:cs="Times New Roman"/>
          <w:sz w:val="24"/>
          <w:szCs w:val="24"/>
        </w:rPr>
        <w:t xml:space="preserve">azonnal érvényesül </w:t>
      </w:r>
      <w:r>
        <w:rPr>
          <w:rFonts w:ascii="Times New Roman" w:hAnsi="Times New Roman" w:cs="Times New Roman"/>
          <w:sz w:val="24"/>
          <w:szCs w:val="24"/>
        </w:rPr>
        <w:t xml:space="preserve">a fenntartói célok megismerése, megértése és </w:t>
      </w:r>
      <w:r w:rsidR="00B66A91">
        <w:rPr>
          <w:rFonts w:ascii="Times New Roman" w:hAnsi="Times New Roman" w:cs="Times New Roman"/>
          <w:sz w:val="24"/>
          <w:szCs w:val="24"/>
        </w:rPr>
        <w:t>a saját minőségcélok harmonizálása a fenntartói szándékkal.</w:t>
      </w:r>
    </w:p>
    <w:p w14:paraId="729F5872" w14:textId="77777777" w:rsidR="00B66A91" w:rsidRDefault="00B66A91" w:rsidP="00FA2DCC">
      <w:pPr>
        <w:spacing w:after="0" w:line="280" w:lineRule="exact"/>
        <w:rPr>
          <w:rFonts w:ascii="Times New Roman" w:hAnsi="Times New Roman" w:cs="Times New Roman"/>
          <w:sz w:val="24"/>
          <w:szCs w:val="24"/>
        </w:rPr>
      </w:pPr>
    </w:p>
    <w:p w14:paraId="360246A1" w14:textId="08538C74" w:rsidR="00B66A91" w:rsidRDefault="00B66A91"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kari döntéshozatal struktúrájának felülvizsgálata is megtörtént 2025-ben. A Kari Tanács létszáma leszűkült, ami meggyorsítja a döntések megvitatását (szakmai kérdésekben tanszékvezetői megbeszélés segítheti a döntéselőkészítést), a nem Kari Tanács tag oktatók bevonására pedig összoktatói fórum szolgál félévente legalább egy alkalommal (ami a fent említett megbeszélésekkel együtt évi legalább 5 széleskörű egyeztetést jelent).</w:t>
      </w:r>
    </w:p>
    <w:p w14:paraId="16A6BD46" w14:textId="77777777" w:rsidR="00B66A91" w:rsidRDefault="00B66A91" w:rsidP="00FA2DCC">
      <w:pPr>
        <w:spacing w:after="0" w:line="280" w:lineRule="exact"/>
        <w:rPr>
          <w:rFonts w:ascii="Times New Roman" w:hAnsi="Times New Roman" w:cs="Times New Roman"/>
          <w:sz w:val="24"/>
          <w:szCs w:val="24"/>
        </w:rPr>
      </w:pPr>
    </w:p>
    <w:p w14:paraId="4AC4B8B8" w14:textId="6441C901" w:rsidR="00B66A91" w:rsidRDefault="00B66A91"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Állandósult és jogilag is intézményesült az Alapító Okirat módosításával a fenntartói joggyakorlás kerete és módja a HTK-n. A fenntartó Egyházkerület </w:t>
      </w:r>
      <w:r w:rsidR="00B55969">
        <w:rPr>
          <w:rFonts w:ascii="Times New Roman" w:hAnsi="Times New Roman" w:cs="Times New Roman"/>
          <w:sz w:val="24"/>
          <w:szCs w:val="24"/>
        </w:rPr>
        <w:t>által elvárt minőségcélok (gyülekezetközpontú képzés, a gyülekezeti gyakorlat</w:t>
      </w:r>
      <w:r w:rsidR="007D2203">
        <w:rPr>
          <w:rFonts w:ascii="Times New Roman" w:hAnsi="Times New Roman" w:cs="Times New Roman"/>
          <w:sz w:val="24"/>
          <w:szCs w:val="24"/>
        </w:rPr>
        <w:t xml:space="preserve"> előírása a kar vezetőjével és a gyakorlati tanszékek vezetőivel szemben) beépítésre kerültek a szabályozásba és a képzési tervbe. A fenntartóval való kapcsolattartás és a fenntartót érintő ügymenet rögzítésre került a kari ügyrendben.</w:t>
      </w:r>
    </w:p>
    <w:p w14:paraId="1D3B292B" w14:textId="77777777" w:rsidR="007D2203" w:rsidRDefault="007D2203" w:rsidP="00FA2DCC">
      <w:pPr>
        <w:spacing w:after="0" w:line="280" w:lineRule="exact"/>
        <w:rPr>
          <w:rFonts w:ascii="Times New Roman" w:hAnsi="Times New Roman" w:cs="Times New Roman"/>
          <w:sz w:val="24"/>
          <w:szCs w:val="24"/>
        </w:rPr>
      </w:pPr>
    </w:p>
    <w:p w14:paraId="02299C84" w14:textId="5BAC5C4B" w:rsidR="007D2203" w:rsidRDefault="007D2203"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kari ügyintézés struktúrája is átdolgozásra került a 2025-ös év során. Új tisztségként kari igazgatói munkakör létesült, mellyel a kari ügyintézés rendje részben átalakult. A korábbi feladatmegosztás átláthatóbbá vált, világos felelősségi körökkel, melyek a kari ügyrendben is rögzítésre kerültek.</w:t>
      </w:r>
    </w:p>
    <w:p w14:paraId="67AB0FEF" w14:textId="77777777" w:rsidR="007D2203" w:rsidRDefault="007D2203" w:rsidP="00FA2DCC">
      <w:pPr>
        <w:spacing w:after="0" w:line="280" w:lineRule="exact"/>
        <w:rPr>
          <w:rFonts w:ascii="Times New Roman" w:hAnsi="Times New Roman" w:cs="Times New Roman"/>
          <w:sz w:val="24"/>
          <w:szCs w:val="24"/>
        </w:rPr>
      </w:pPr>
    </w:p>
    <w:p w14:paraId="09C4007E" w14:textId="77777777" w:rsidR="007D2203" w:rsidRDefault="007D2203"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Az </w:t>
      </w:r>
      <w:r w:rsidRPr="00CB600E">
        <w:rPr>
          <w:rFonts w:ascii="Times New Roman" w:hAnsi="Times New Roman" w:cs="Times New Roman"/>
          <w:sz w:val="24"/>
          <w:szCs w:val="24"/>
        </w:rPr>
        <w:t>oktatásinformatikai kompetenciák és a digitális eszközhasználat</w:t>
      </w:r>
      <w:r>
        <w:rPr>
          <w:rFonts w:ascii="Times New Roman" w:hAnsi="Times New Roman" w:cs="Times New Roman"/>
          <w:sz w:val="24"/>
          <w:szCs w:val="24"/>
        </w:rPr>
        <w:t xml:space="preserve"> fejlesztése érdekében a Kar csatlakozott az IKT mentorhálózatához, megkezdődött a támogatási igények felmérése az oktatók között.</w:t>
      </w:r>
    </w:p>
    <w:p w14:paraId="06AB11BE" w14:textId="77777777" w:rsidR="007D2203" w:rsidRDefault="007D2203" w:rsidP="00FA2DCC">
      <w:pPr>
        <w:spacing w:after="0" w:line="280" w:lineRule="exact"/>
        <w:rPr>
          <w:rFonts w:ascii="Times New Roman" w:hAnsi="Times New Roman" w:cs="Times New Roman"/>
          <w:sz w:val="24"/>
          <w:szCs w:val="24"/>
        </w:rPr>
      </w:pPr>
    </w:p>
    <w:p w14:paraId="183AB45C" w14:textId="3F1C186D" w:rsidR="007D2203" w:rsidRDefault="00906207"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 nemzetközi és tudományos láthatóság elérése érdekében folyamatosan promotáljuk az oktatók körében az MTMT naprakészen tartását, </w:t>
      </w:r>
      <w:r w:rsidR="00B861AD">
        <w:rPr>
          <w:rFonts w:ascii="Times New Roman" w:hAnsi="Times New Roman" w:cs="Times New Roman"/>
          <w:sz w:val="24"/>
          <w:szCs w:val="24"/>
        </w:rPr>
        <w:t xml:space="preserve">a KRE-TÉR kari értékelő részében támogatja a Kar a láthatóságot célzó média-megjelenéseket, ismeretterjesztő publikációkat, szabadegyetem jellegű képzésekben, előadásokban való részvételt. </w:t>
      </w:r>
    </w:p>
    <w:p w14:paraId="59CE0EBA" w14:textId="16201E83" w:rsidR="00B861AD" w:rsidRDefault="00B861AD" w:rsidP="00FA2DCC">
      <w:pPr>
        <w:spacing w:after="0" w:line="280" w:lineRule="exact"/>
        <w:rPr>
          <w:rFonts w:ascii="Times New Roman" w:hAnsi="Times New Roman" w:cs="Times New Roman"/>
          <w:sz w:val="24"/>
          <w:szCs w:val="24"/>
        </w:rPr>
      </w:pPr>
    </w:p>
    <w:p w14:paraId="398775BB" w14:textId="77777777" w:rsidR="009B443F" w:rsidRPr="009B443F" w:rsidRDefault="009B443F" w:rsidP="00FA2DCC">
      <w:pPr>
        <w:spacing w:after="0" w:line="280" w:lineRule="exact"/>
        <w:rPr>
          <w:rFonts w:ascii="Times New Roman" w:hAnsi="Times New Roman" w:cs="Times New Roman"/>
          <w:sz w:val="24"/>
          <w:szCs w:val="24"/>
        </w:rPr>
      </w:pPr>
    </w:p>
    <w:p w14:paraId="7873B70F" w14:textId="77D318F2" w:rsidR="00FA2DCC" w:rsidRPr="009B443F" w:rsidRDefault="00FA2DCC" w:rsidP="00FA2DCC">
      <w:pPr>
        <w:spacing w:after="0" w:line="280" w:lineRule="exact"/>
        <w:rPr>
          <w:rFonts w:ascii="Times New Roman" w:hAnsi="Times New Roman" w:cs="Times New Roman"/>
          <w:b/>
          <w:bCs/>
          <w:sz w:val="24"/>
          <w:szCs w:val="24"/>
        </w:rPr>
      </w:pPr>
      <w:r w:rsidRPr="009B443F">
        <w:rPr>
          <w:rFonts w:ascii="Times New Roman" w:hAnsi="Times New Roman" w:cs="Times New Roman"/>
          <w:b/>
          <w:bCs/>
          <w:sz w:val="24"/>
          <w:szCs w:val="24"/>
        </w:rPr>
        <w:t>2.  Képzési programok indítása, nyomon követése, értékelése</w:t>
      </w:r>
      <w:r w:rsidR="00B66A91">
        <w:rPr>
          <w:rFonts w:ascii="Times New Roman" w:hAnsi="Times New Roman" w:cs="Times New Roman"/>
          <w:b/>
          <w:bCs/>
          <w:sz w:val="24"/>
          <w:szCs w:val="24"/>
        </w:rPr>
        <w:t xml:space="preserve"> </w:t>
      </w:r>
    </w:p>
    <w:p w14:paraId="2187BC71" w14:textId="21E17D5E" w:rsidR="00B66A91" w:rsidRDefault="00B66A91"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Lásd a szakos éves értékelésekben (mellékelve)</w:t>
      </w:r>
    </w:p>
    <w:p w14:paraId="46E4B7C8" w14:textId="77777777" w:rsidR="00062D15" w:rsidRPr="009B443F" w:rsidRDefault="00062D15" w:rsidP="00FA2DCC">
      <w:pPr>
        <w:spacing w:after="0" w:line="280" w:lineRule="exact"/>
        <w:rPr>
          <w:rFonts w:ascii="Times New Roman" w:hAnsi="Times New Roman" w:cs="Times New Roman"/>
          <w:sz w:val="24"/>
          <w:szCs w:val="24"/>
        </w:rPr>
      </w:pPr>
    </w:p>
    <w:p w14:paraId="55D32D0A" w14:textId="62933445" w:rsidR="00FA2DCC" w:rsidRPr="00B66A91" w:rsidRDefault="00FA2DCC" w:rsidP="00FA2DCC">
      <w:pPr>
        <w:spacing w:after="0" w:line="280" w:lineRule="exact"/>
        <w:rPr>
          <w:rFonts w:ascii="Times New Roman" w:hAnsi="Times New Roman" w:cs="Times New Roman"/>
          <w:b/>
          <w:bCs/>
          <w:sz w:val="24"/>
          <w:szCs w:val="24"/>
        </w:rPr>
      </w:pPr>
      <w:r w:rsidRPr="00B66A91">
        <w:rPr>
          <w:rFonts w:ascii="Times New Roman" w:hAnsi="Times New Roman" w:cs="Times New Roman"/>
          <w:b/>
          <w:bCs/>
          <w:sz w:val="24"/>
          <w:szCs w:val="24"/>
        </w:rPr>
        <w:t>3. Hallgatók értékelése</w:t>
      </w:r>
    </w:p>
    <w:p w14:paraId="54C6E4CC" w14:textId="77777777" w:rsidR="00B66A91" w:rsidRDefault="00B66A91" w:rsidP="00B66A91">
      <w:pPr>
        <w:spacing w:after="0" w:line="280" w:lineRule="exact"/>
        <w:rPr>
          <w:rFonts w:ascii="Times New Roman" w:hAnsi="Times New Roman" w:cs="Times New Roman"/>
          <w:sz w:val="24"/>
          <w:szCs w:val="24"/>
        </w:rPr>
      </w:pPr>
      <w:r>
        <w:rPr>
          <w:rFonts w:ascii="Times New Roman" w:hAnsi="Times New Roman" w:cs="Times New Roman"/>
          <w:sz w:val="24"/>
          <w:szCs w:val="24"/>
        </w:rPr>
        <w:t>Lásd a szakos éves értékelésekben (mellékelve)</w:t>
      </w:r>
    </w:p>
    <w:p w14:paraId="63FE81FF" w14:textId="77777777" w:rsidR="00062D15" w:rsidRPr="009B443F" w:rsidRDefault="00062D15" w:rsidP="00FA2DCC">
      <w:pPr>
        <w:spacing w:after="0" w:line="280" w:lineRule="exact"/>
        <w:rPr>
          <w:rFonts w:ascii="Times New Roman" w:hAnsi="Times New Roman" w:cs="Times New Roman"/>
          <w:sz w:val="24"/>
          <w:szCs w:val="24"/>
        </w:rPr>
      </w:pPr>
    </w:p>
    <w:p w14:paraId="3B11B620" w14:textId="1201DAF0" w:rsidR="00FA2DCC" w:rsidRPr="00B66A91" w:rsidRDefault="00FA2DCC" w:rsidP="00FA2DCC">
      <w:pPr>
        <w:spacing w:after="0" w:line="280" w:lineRule="exact"/>
        <w:rPr>
          <w:rFonts w:ascii="Times New Roman" w:hAnsi="Times New Roman" w:cs="Times New Roman"/>
          <w:b/>
          <w:bCs/>
          <w:sz w:val="24"/>
          <w:szCs w:val="24"/>
        </w:rPr>
      </w:pPr>
      <w:r w:rsidRPr="00B66A91">
        <w:rPr>
          <w:rFonts w:ascii="Times New Roman" w:hAnsi="Times New Roman" w:cs="Times New Roman"/>
          <w:b/>
          <w:bCs/>
          <w:sz w:val="24"/>
          <w:szCs w:val="24"/>
        </w:rPr>
        <w:lastRenderedPageBreak/>
        <w:t>4. Oktatók</w:t>
      </w:r>
    </w:p>
    <w:p w14:paraId="277A4D68" w14:textId="77777777" w:rsidR="00960E1E" w:rsidRDefault="00960E1E" w:rsidP="00960E1E">
      <w:pPr>
        <w:spacing w:after="0" w:line="280" w:lineRule="exact"/>
        <w:rPr>
          <w:rFonts w:ascii="Times New Roman" w:hAnsi="Times New Roman" w:cs="Times New Roman"/>
          <w:sz w:val="24"/>
          <w:szCs w:val="24"/>
        </w:rPr>
      </w:pPr>
      <w:r>
        <w:rPr>
          <w:rFonts w:ascii="Times New Roman" w:hAnsi="Times New Roman" w:cs="Times New Roman"/>
          <w:sz w:val="24"/>
          <w:szCs w:val="24"/>
        </w:rPr>
        <w:t>Lásd a szakos éves értékelésekben (mellékelve)</w:t>
      </w:r>
    </w:p>
    <w:p w14:paraId="5FDBF16A" w14:textId="77777777" w:rsidR="00062D15" w:rsidRPr="009B443F" w:rsidRDefault="00062D15" w:rsidP="00FA2DCC">
      <w:pPr>
        <w:spacing w:after="0" w:line="280" w:lineRule="exact"/>
        <w:rPr>
          <w:rFonts w:ascii="Times New Roman" w:hAnsi="Times New Roman" w:cs="Times New Roman"/>
          <w:sz w:val="24"/>
          <w:szCs w:val="24"/>
        </w:rPr>
      </w:pPr>
    </w:p>
    <w:p w14:paraId="08F53A86" w14:textId="6C38E1C2" w:rsidR="00FA2DCC" w:rsidRPr="00B66A91" w:rsidRDefault="00FA2DCC" w:rsidP="00FA2DCC">
      <w:pPr>
        <w:spacing w:after="0" w:line="280" w:lineRule="exact"/>
        <w:rPr>
          <w:rFonts w:ascii="Times New Roman" w:hAnsi="Times New Roman" w:cs="Times New Roman"/>
          <w:b/>
          <w:bCs/>
          <w:sz w:val="24"/>
          <w:szCs w:val="24"/>
        </w:rPr>
      </w:pPr>
      <w:r w:rsidRPr="00B66A91">
        <w:rPr>
          <w:rFonts w:ascii="Times New Roman" w:hAnsi="Times New Roman" w:cs="Times New Roman"/>
          <w:b/>
          <w:bCs/>
          <w:sz w:val="24"/>
          <w:szCs w:val="24"/>
        </w:rPr>
        <w:t>5. Nemzetközi kapcsolatok</w:t>
      </w:r>
    </w:p>
    <w:p w14:paraId="2E867C84" w14:textId="37B56EF8" w:rsidR="00FA2DCC" w:rsidRPr="007140EB" w:rsidRDefault="00FA2DCC" w:rsidP="00FA2DCC">
      <w:pPr>
        <w:spacing w:after="0" w:line="280" w:lineRule="exact"/>
        <w:rPr>
          <w:rFonts w:ascii="Times New Roman" w:hAnsi="Times New Roman" w:cs="Times New Roman"/>
          <w:i/>
          <w:iCs/>
          <w:sz w:val="24"/>
          <w:szCs w:val="24"/>
        </w:rPr>
      </w:pPr>
      <w:r w:rsidRPr="007140EB">
        <w:rPr>
          <w:rFonts w:ascii="Times New Roman" w:hAnsi="Times New Roman" w:cs="Times New Roman"/>
          <w:i/>
          <w:iCs/>
          <w:sz w:val="24"/>
          <w:szCs w:val="24"/>
        </w:rPr>
        <w:t>a) hallgatói utak, kutatóutak;</w:t>
      </w:r>
    </w:p>
    <w:p w14:paraId="1D8459C4" w14:textId="6068DF85" w:rsidR="00906207" w:rsidRDefault="00906207"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ERASMUS szakmai gyakorlat </w:t>
      </w:r>
      <w:r w:rsidR="007140EB">
        <w:rPr>
          <w:rFonts w:ascii="Times New Roman" w:hAnsi="Times New Roman" w:cs="Times New Roman"/>
          <w:sz w:val="24"/>
          <w:szCs w:val="24"/>
        </w:rPr>
        <w:t xml:space="preserve">szokott lenni, 2025-ben nem volt; </w:t>
      </w:r>
      <w:r>
        <w:rPr>
          <w:rFonts w:ascii="Times New Roman" w:hAnsi="Times New Roman" w:cs="Times New Roman"/>
          <w:sz w:val="24"/>
          <w:szCs w:val="24"/>
        </w:rPr>
        <w:t>ERASMUS BIP 5 fő</w:t>
      </w:r>
      <w:r w:rsidR="007140EB">
        <w:rPr>
          <w:rFonts w:ascii="Times New Roman" w:hAnsi="Times New Roman" w:cs="Times New Roman"/>
          <w:sz w:val="24"/>
          <w:szCs w:val="24"/>
        </w:rPr>
        <w:t xml:space="preserve">, az </w:t>
      </w:r>
      <w:r>
        <w:rPr>
          <w:rFonts w:ascii="Times New Roman" w:hAnsi="Times New Roman" w:cs="Times New Roman"/>
          <w:sz w:val="24"/>
          <w:szCs w:val="24"/>
        </w:rPr>
        <w:t>ERASMUS féléves tanulmányi mobilitás nem népszerű, nem akarnak lemaradni az évfolyam</w:t>
      </w:r>
      <w:r w:rsidR="007140EB">
        <w:rPr>
          <w:rFonts w:ascii="Times New Roman" w:hAnsi="Times New Roman" w:cs="Times New Roman"/>
          <w:sz w:val="24"/>
          <w:szCs w:val="24"/>
        </w:rPr>
        <w:t>uktól (nagyon erős a hallgatói összetartás évfolyamokon belül).</w:t>
      </w:r>
    </w:p>
    <w:p w14:paraId="7E28D069" w14:textId="2A428AAF" w:rsidR="00906207" w:rsidRDefault="00906207"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Kőrösi Csoma ösztöndíj Hollandiába 1 fő</w:t>
      </w:r>
    </w:p>
    <w:p w14:paraId="4E058D4C" w14:textId="77777777" w:rsidR="00B55969" w:rsidRDefault="00B55969" w:rsidP="00FA2DCC">
      <w:pPr>
        <w:spacing w:after="0" w:line="280" w:lineRule="exact"/>
        <w:rPr>
          <w:rFonts w:ascii="Times New Roman" w:hAnsi="Times New Roman" w:cs="Times New Roman"/>
          <w:sz w:val="24"/>
          <w:szCs w:val="24"/>
        </w:rPr>
      </w:pPr>
    </w:p>
    <w:p w14:paraId="1ED0874E" w14:textId="4DCD0A00" w:rsidR="00FA2DCC" w:rsidRPr="007140EB" w:rsidRDefault="00FA2DCC" w:rsidP="00FA2DCC">
      <w:pPr>
        <w:spacing w:after="0" w:line="280" w:lineRule="exact"/>
        <w:rPr>
          <w:rFonts w:ascii="Times New Roman" w:hAnsi="Times New Roman" w:cs="Times New Roman"/>
          <w:i/>
          <w:iCs/>
          <w:sz w:val="24"/>
          <w:szCs w:val="24"/>
        </w:rPr>
      </w:pPr>
      <w:r w:rsidRPr="007140EB">
        <w:rPr>
          <w:rFonts w:ascii="Times New Roman" w:hAnsi="Times New Roman" w:cs="Times New Roman"/>
          <w:i/>
          <w:iCs/>
          <w:sz w:val="24"/>
          <w:szCs w:val="24"/>
        </w:rPr>
        <w:t>b) intézményi kapcsolatok;</w:t>
      </w:r>
    </w:p>
    <w:p w14:paraId="241F5315" w14:textId="1A0E6019" w:rsidR="007140EB" w:rsidRDefault="007140EB"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Szoros szakmai kapcsolat van a Kárpát-medencei református felsőoktatási intézményekkel (Selye János Egyetem, Komárno; Protestáns Teológiai Intézet, Kolozsvár). E kapcsolódásnak az Erasmus oktatócseréken túl intézményes szakmai keretet ad a Doktorok Kollégiumában zajló közös tudományos munka, valamint a képzések tartalmi egyeztetésére fórumot nyújtó Coetus Theologorum évenkénti ülése. </w:t>
      </w:r>
    </w:p>
    <w:p w14:paraId="25039AB1" w14:textId="62943A50" w:rsidR="00B55969" w:rsidRDefault="007140EB"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Ezek mellett állandó a munkakapcsolat a Babes-Bolyai Tudományegyetemmel (Kolozsvár)</w:t>
      </w:r>
      <w:r w:rsidR="00A138E8">
        <w:rPr>
          <w:rFonts w:ascii="Times New Roman" w:hAnsi="Times New Roman" w:cs="Times New Roman"/>
          <w:sz w:val="24"/>
          <w:szCs w:val="24"/>
        </w:rPr>
        <w:t>.</w:t>
      </w:r>
    </w:p>
    <w:p w14:paraId="4D807400" w14:textId="77777777" w:rsidR="00B55969" w:rsidRDefault="00B55969" w:rsidP="00FA2DCC">
      <w:pPr>
        <w:spacing w:after="0" w:line="280" w:lineRule="exact"/>
        <w:rPr>
          <w:rFonts w:ascii="Times New Roman" w:hAnsi="Times New Roman" w:cs="Times New Roman"/>
          <w:sz w:val="24"/>
          <w:szCs w:val="24"/>
        </w:rPr>
      </w:pPr>
    </w:p>
    <w:p w14:paraId="491D993A" w14:textId="77777777" w:rsidR="00241075" w:rsidRDefault="00241075" w:rsidP="00241075">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 </w:t>
      </w:r>
      <w:r w:rsidRPr="00241075">
        <w:rPr>
          <w:rFonts w:ascii="Times New Roman" w:hAnsi="Times New Roman" w:cs="Times New Roman"/>
          <w:sz w:val="24"/>
          <w:szCs w:val="24"/>
        </w:rPr>
        <w:t>Südostmitteleuropäischer Fakultätentag</w:t>
      </w:r>
      <w:r>
        <w:rPr>
          <w:rFonts w:ascii="Times New Roman" w:hAnsi="Times New Roman" w:cs="Times New Roman"/>
          <w:sz w:val="24"/>
          <w:szCs w:val="24"/>
        </w:rPr>
        <w:t xml:space="preserve"> (SOMEF) keretében folyamatos kapcsolat van az alábbi egyetemekkel:</w:t>
      </w:r>
    </w:p>
    <w:p w14:paraId="6CB5D969" w14:textId="0F8C12BA"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Evangelical Lutheran Theological Faculty, Comenius University, Pozsony (Evanjelická bohoslovecká fakulta Univerzity Komenského, Bratislava)</w:t>
      </w:r>
    </w:p>
    <w:p w14:paraId="176285F6" w14:textId="77777777"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 xml:space="preserve">Theologisches Institut Hermannstadt/Sibiu/Nagyszeben (Institutul Teologic Protestant din Sibiu) </w:t>
      </w:r>
    </w:p>
    <w:p w14:paraId="39B9E8BD" w14:textId="77777777"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Kolozsvári Protestáns Teológiai Intézet (Institutul Teologic Protestant din Cluj-Napoca)</w:t>
      </w:r>
    </w:p>
    <w:p w14:paraId="2C22613F" w14:textId="77777777"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Selye János Egyetem, Protestáns Teológiai Kar, Komárno/Révkomárom (Reformovaná teologická fakulta Univerzity J. Selyeho, Komárno)</w:t>
      </w:r>
    </w:p>
    <w:p w14:paraId="3DF96569" w14:textId="77777777"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Evangelisch-Theologische Fakultät der Karlsuniversität in Prag (Evangelická teologická fakulta Univerzity Karlovy)</w:t>
      </w:r>
    </w:p>
    <w:p w14:paraId="23B4377A" w14:textId="77777777"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 xml:space="preserve">Hussitisch-Theologische Fakultät der Karlsuniversität (Husitská teologická fakulty Univerzity Karlovy) </w:t>
      </w:r>
    </w:p>
    <w:p w14:paraId="28148FAD" w14:textId="53C0FDFD" w:rsidR="00241075" w:rsidRPr="00241075" w:rsidRDefault="00241075" w:rsidP="00241075">
      <w:pPr>
        <w:pStyle w:val="Listaszerbekezds"/>
        <w:numPr>
          <w:ilvl w:val="0"/>
          <w:numId w:val="6"/>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Evangelisch-Theologische Fakultät der Universität Wien</w:t>
      </w:r>
    </w:p>
    <w:p w14:paraId="0E9AF1A9" w14:textId="77777777" w:rsidR="00241075" w:rsidRDefault="00241075" w:rsidP="00FA2DCC">
      <w:pPr>
        <w:spacing w:after="0" w:line="280" w:lineRule="exact"/>
        <w:rPr>
          <w:rFonts w:ascii="Times New Roman" w:hAnsi="Times New Roman" w:cs="Times New Roman"/>
          <w:sz w:val="24"/>
          <w:szCs w:val="24"/>
        </w:rPr>
      </w:pPr>
    </w:p>
    <w:p w14:paraId="189BF1F8" w14:textId="2A818A60" w:rsidR="00241075" w:rsidRDefault="00241075"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Oktatóink folyamatos szakmai kapcsolata kiterjed az alábbi intézményekre:</w:t>
      </w:r>
    </w:p>
    <w:p w14:paraId="748A06CF" w14:textId="7D01CB67" w:rsidR="00241075" w:rsidRPr="00241075" w:rsidRDefault="00241075" w:rsidP="00241075">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Martin-Luther-Universität, Halle-Wittenberg, Lehrstuhl für Bibelwissenschaften</w:t>
      </w:r>
    </w:p>
    <w:p w14:paraId="301A919C" w14:textId="77777777" w:rsidR="00241075" w:rsidRPr="00241075" w:rsidRDefault="00241075" w:rsidP="00241075">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 xml:space="preserve">Hebrew University, Jerusalem (Department of Bible) </w:t>
      </w:r>
    </w:p>
    <w:p w14:paraId="1BDB8E44" w14:textId="38FC9BEA" w:rsidR="00241075" w:rsidRPr="00F66353" w:rsidRDefault="00241075" w:rsidP="00F66353">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Azusa Pacific University</w:t>
      </w:r>
    </w:p>
    <w:p w14:paraId="17A410D0" w14:textId="5C518647" w:rsidR="00241075" w:rsidRPr="00241075" w:rsidRDefault="00241075" w:rsidP="00241075">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Calvin Theological Seminary, Grand Rapids</w:t>
      </w:r>
    </w:p>
    <w:p w14:paraId="20DE4B66" w14:textId="77777777" w:rsidR="00241075" w:rsidRPr="00241075" w:rsidRDefault="00241075" w:rsidP="00241075">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Ruprecht-Karls-Universität Heidelberg</w:t>
      </w:r>
    </w:p>
    <w:p w14:paraId="14DB3B26" w14:textId="0AFF431A" w:rsidR="00241075" w:rsidRDefault="00241075" w:rsidP="00241075">
      <w:pPr>
        <w:pStyle w:val="Listaszerbekezds"/>
        <w:numPr>
          <w:ilvl w:val="0"/>
          <w:numId w:val="7"/>
        </w:numPr>
        <w:spacing w:after="0" w:line="280" w:lineRule="exact"/>
        <w:rPr>
          <w:rFonts w:ascii="Times New Roman" w:hAnsi="Times New Roman" w:cs="Times New Roman"/>
          <w:sz w:val="24"/>
          <w:szCs w:val="24"/>
        </w:rPr>
      </w:pPr>
      <w:r w:rsidRPr="00241075">
        <w:rPr>
          <w:rFonts w:ascii="Times New Roman" w:hAnsi="Times New Roman" w:cs="Times New Roman"/>
          <w:sz w:val="24"/>
          <w:szCs w:val="24"/>
        </w:rPr>
        <w:t>The University of Edinburgh</w:t>
      </w:r>
    </w:p>
    <w:p w14:paraId="064615EB" w14:textId="16656EBC" w:rsidR="005E116E" w:rsidRPr="005E116E" w:rsidRDefault="005E116E" w:rsidP="005E116E">
      <w:pPr>
        <w:pStyle w:val="Listaszerbekezds"/>
        <w:numPr>
          <w:ilvl w:val="0"/>
          <w:numId w:val="7"/>
        </w:numPr>
        <w:spacing w:after="0" w:line="280" w:lineRule="exact"/>
        <w:rPr>
          <w:rFonts w:ascii="Times New Roman" w:hAnsi="Times New Roman" w:cs="Times New Roman"/>
          <w:sz w:val="24"/>
          <w:szCs w:val="24"/>
        </w:rPr>
      </w:pPr>
      <w:r w:rsidRPr="005E116E">
        <w:rPr>
          <w:rFonts w:ascii="Times New Roman" w:hAnsi="Times New Roman" w:cs="Times New Roman"/>
          <w:sz w:val="24"/>
          <w:szCs w:val="24"/>
        </w:rPr>
        <w:t>Fuller Seminary, USA</w:t>
      </w:r>
    </w:p>
    <w:p w14:paraId="3DD535AB" w14:textId="77777777" w:rsidR="00241075" w:rsidRDefault="00241075" w:rsidP="00FA2DCC">
      <w:pPr>
        <w:spacing w:after="0" w:line="280" w:lineRule="exact"/>
        <w:rPr>
          <w:rFonts w:ascii="Times New Roman" w:hAnsi="Times New Roman" w:cs="Times New Roman"/>
          <w:sz w:val="24"/>
          <w:szCs w:val="24"/>
        </w:rPr>
      </w:pPr>
    </w:p>
    <w:p w14:paraId="24AE9B73" w14:textId="6606EBA8" w:rsidR="00241075" w:rsidRDefault="00241075"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(További kapcsolatokat lásd a következő pontnál</w:t>
      </w:r>
      <w:r w:rsidR="00C03D27">
        <w:rPr>
          <w:rFonts w:ascii="Times New Roman" w:hAnsi="Times New Roman" w:cs="Times New Roman"/>
          <w:sz w:val="24"/>
          <w:szCs w:val="24"/>
        </w:rPr>
        <w:t>.</w:t>
      </w:r>
      <w:r>
        <w:rPr>
          <w:rFonts w:ascii="Times New Roman" w:hAnsi="Times New Roman" w:cs="Times New Roman"/>
          <w:sz w:val="24"/>
          <w:szCs w:val="24"/>
        </w:rPr>
        <w:t>)</w:t>
      </w:r>
    </w:p>
    <w:p w14:paraId="45F07BFE" w14:textId="77777777" w:rsidR="00241075" w:rsidRDefault="00241075" w:rsidP="00FA2DCC">
      <w:pPr>
        <w:spacing w:after="0" w:line="280" w:lineRule="exact"/>
        <w:rPr>
          <w:rFonts w:ascii="Times New Roman" w:hAnsi="Times New Roman" w:cs="Times New Roman"/>
          <w:sz w:val="24"/>
          <w:szCs w:val="24"/>
        </w:rPr>
      </w:pPr>
    </w:p>
    <w:p w14:paraId="7388CBEB" w14:textId="6CEFFB16" w:rsidR="00FA2DCC" w:rsidRPr="00A138E8" w:rsidRDefault="00FA2DCC" w:rsidP="00FA2DCC">
      <w:pPr>
        <w:spacing w:after="0" w:line="280" w:lineRule="exact"/>
        <w:rPr>
          <w:rFonts w:ascii="Times New Roman" w:hAnsi="Times New Roman" w:cs="Times New Roman"/>
          <w:i/>
          <w:iCs/>
          <w:sz w:val="24"/>
          <w:szCs w:val="24"/>
        </w:rPr>
      </w:pPr>
      <w:r w:rsidRPr="00A138E8">
        <w:rPr>
          <w:rFonts w:ascii="Times New Roman" w:hAnsi="Times New Roman" w:cs="Times New Roman"/>
          <w:i/>
          <w:iCs/>
          <w:sz w:val="24"/>
          <w:szCs w:val="24"/>
        </w:rPr>
        <w:t>c) nemzetközi kutatócsoportok;</w:t>
      </w:r>
    </w:p>
    <w:p w14:paraId="47C208C9" w14:textId="43196DB9" w:rsidR="00C03D27" w:rsidRPr="00C03D27" w:rsidRDefault="00C03D27" w:rsidP="00C03D27">
      <w:pPr>
        <w:pStyle w:val="Listaszerbekezds"/>
        <w:numPr>
          <w:ilvl w:val="0"/>
          <w:numId w:val="8"/>
        </w:numPr>
        <w:spacing w:after="0" w:line="280" w:lineRule="exact"/>
        <w:rPr>
          <w:rFonts w:ascii="Times New Roman" w:hAnsi="Times New Roman" w:cs="Times New Roman"/>
          <w:sz w:val="24"/>
          <w:szCs w:val="24"/>
        </w:rPr>
      </w:pPr>
      <w:r w:rsidRPr="00C03D27">
        <w:rPr>
          <w:rFonts w:ascii="Times New Roman" w:hAnsi="Times New Roman" w:cs="Times New Roman"/>
          <w:sz w:val="24"/>
          <w:szCs w:val="24"/>
        </w:rPr>
        <w:t>Duke Divinity School, Durham (North Carolina), kutatási projekt részvétel, prof. Brent Strawn, HTK részéről: dr. Péntek Dániel Gábor (https://hbcepsalms.manuscriptroom.com/home)</w:t>
      </w:r>
    </w:p>
    <w:p w14:paraId="79D7EB32" w14:textId="75E57896" w:rsidR="00C03D27" w:rsidRPr="00C03D27" w:rsidRDefault="00C03D27" w:rsidP="00C03D27">
      <w:pPr>
        <w:pStyle w:val="Listaszerbekezds"/>
        <w:numPr>
          <w:ilvl w:val="0"/>
          <w:numId w:val="8"/>
        </w:numPr>
        <w:spacing w:after="0" w:line="280" w:lineRule="exact"/>
        <w:rPr>
          <w:rFonts w:ascii="Times New Roman" w:hAnsi="Times New Roman" w:cs="Times New Roman"/>
          <w:sz w:val="24"/>
          <w:szCs w:val="24"/>
        </w:rPr>
      </w:pPr>
      <w:r w:rsidRPr="00C03D27">
        <w:rPr>
          <w:rFonts w:ascii="Times New Roman" w:hAnsi="Times New Roman" w:cs="Times New Roman"/>
          <w:sz w:val="24"/>
          <w:szCs w:val="24"/>
        </w:rPr>
        <w:lastRenderedPageBreak/>
        <w:t>Universität Münster, Katholisch-Theologische Fakultät, Institut für Biblische Exegese und Theologie (IBET), kutatási projekt részvétel, Dr. Drew Longacre, a HTK részéről: dr. Péntek Dániel Gábor (https://hbcepsalms.manuscriptroom.com/home)</w:t>
      </w:r>
    </w:p>
    <w:p w14:paraId="40B37A7E" w14:textId="301A5090" w:rsidR="00A138E8" w:rsidRPr="00C03D27" w:rsidRDefault="00C03D27" w:rsidP="00C03D27">
      <w:pPr>
        <w:pStyle w:val="Listaszerbekezds"/>
        <w:numPr>
          <w:ilvl w:val="0"/>
          <w:numId w:val="8"/>
        </w:numPr>
        <w:spacing w:after="0" w:line="280" w:lineRule="exact"/>
        <w:rPr>
          <w:rFonts w:ascii="Times New Roman" w:hAnsi="Times New Roman" w:cs="Times New Roman"/>
          <w:sz w:val="24"/>
          <w:szCs w:val="24"/>
        </w:rPr>
      </w:pPr>
      <w:r w:rsidRPr="00C03D27">
        <w:rPr>
          <w:rFonts w:ascii="Times New Roman" w:hAnsi="Times New Roman" w:cs="Times New Roman"/>
          <w:sz w:val="24"/>
          <w:szCs w:val="24"/>
        </w:rPr>
        <w:t>North-West University, Potchefstroom (Faculty of Theology)</w:t>
      </w:r>
      <w:r w:rsidRPr="00C03D27">
        <w:rPr>
          <w:rFonts w:ascii="Times New Roman" w:hAnsi="Times New Roman" w:cs="Times New Roman"/>
          <w:sz w:val="24"/>
          <w:szCs w:val="24"/>
        </w:rPr>
        <w:tab/>
        <w:t>Hungarian–South African Study Group, a HTK részéről: dr. Péntek Dániel Gábor;</w:t>
      </w:r>
    </w:p>
    <w:p w14:paraId="6FF5A5A3" w14:textId="3F8C25FA" w:rsidR="00C03D27" w:rsidRPr="00C03D27" w:rsidRDefault="00C03D27" w:rsidP="00C03D27">
      <w:pPr>
        <w:pStyle w:val="Listaszerbekezds"/>
        <w:numPr>
          <w:ilvl w:val="0"/>
          <w:numId w:val="8"/>
        </w:numPr>
        <w:spacing w:after="0" w:line="280" w:lineRule="exact"/>
        <w:rPr>
          <w:rFonts w:ascii="Times New Roman" w:hAnsi="Times New Roman" w:cs="Times New Roman"/>
          <w:sz w:val="24"/>
          <w:szCs w:val="24"/>
        </w:rPr>
      </w:pPr>
      <w:r w:rsidRPr="00C03D27">
        <w:rPr>
          <w:rFonts w:ascii="Times New Roman" w:hAnsi="Times New Roman" w:cs="Times New Roman"/>
          <w:sz w:val="24"/>
          <w:szCs w:val="24"/>
        </w:rPr>
        <w:t>Babes-Bolyai Tudományegyetem, Institutul de Studii Patristice și Literatură Creștină Veche, kutatási projekt részvétel 2023-tól, dr. Claudiu Tutu</w:t>
      </w:r>
      <w:r w:rsidRPr="00C03D27">
        <w:rPr>
          <w:rFonts w:ascii="Times New Roman" w:hAnsi="Times New Roman" w:cs="Times New Roman"/>
          <w:sz w:val="24"/>
          <w:szCs w:val="24"/>
        </w:rPr>
        <w:tab/>
        <w:t>a HTK részéről: prof. dr. Hanula Gergely, dr. Kendeffy Gábor, dr. Pecsuk Ottó</w:t>
      </w:r>
    </w:p>
    <w:p w14:paraId="7E619D9A" w14:textId="77777777" w:rsidR="00A138E8" w:rsidRDefault="00A138E8" w:rsidP="00FA2DCC">
      <w:pPr>
        <w:spacing w:after="0" w:line="280" w:lineRule="exact"/>
        <w:rPr>
          <w:rFonts w:ascii="Times New Roman" w:hAnsi="Times New Roman" w:cs="Times New Roman"/>
          <w:sz w:val="24"/>
          <w:szCs w:val="24"/>
        </w:rPr>
      </w:pPr>
    </w:p>
    <w:p w14:paraId="49402361" w14:textId="406F06B8" w:rsidR="00FA2DCC" w:rsidRPr="00C03D27" w:rsidRDefault="00FA2DCC" w:rsidP="00FA2DCC">
      <w:pPr>
        <w:spacing w:after="0" w:line="280" w:lineRule="exact"/>
        <w:rPr>
          <w:rFonts w:ascii="Times New Roman" w:hAnsi="Times New Roman" w:cs="Times New Roman"/>
          <w:i/>
          <w:iCs/>
          <w:sz w:val="24"/>
          <w:szCs w:val="24"/>
        </w:rPr>
      </w:pPr>
      <w:r w:rsidRPr="00C03D27">
        <w:rPr>
          <w:rFonts w:ascii="Times New Roman" w:hAnsi="Times New Roman" w:cs="Times New Roman"/>
          <w:i/>
          <w:iCs/>
          <w:sz w:val="24"/>
          <w:szCs w:val="24"/>
        </w:rPr>
        <w:t>d) konferenciák, rendezvények.</w:t>
      </w:r>
    </w:p>
    <w:p w14:paraId="5ECDFCF0" w14:textId="77777777" w:rsidR="001C2304" w:rsidRDefault="001C2304" w:rsidP="00FA2DCC">
      <w:pPr>
        <w:spacing w:after="0" w:line="280" w:lineRule="exact"/>
        <w:rPr>
          <w:rFonts w:ascii="Times New Roman" w:hAnsi="Times New Roman" w:cs="Times New Roman"/>
          <w:sz w:val="24"/>
          <w:szCs w:val="24"/>
        </w:rPr>
      </w:pPr>
    </w:p>
    <w:p w14:paraId="17F4DFA7" w14:textId="73607478" w:rsidR="00C03D27" w:rsidRDefault="00C03D27" w:rsidP="00FA2DCC">
      <w:pPr>
        <w:spacing w:after="0" w:line="280" w:lineRule="exact"/>
        <w:rPr>
          <w:rFonts w:ascii="Times New Roman" w:hAnsi="Times New Roman" w:cs="Times New Roman"/>
          <w:sz w:val="24"/>
          <w:szCs w:val="24"/>
        </w:rPr>
      </w:pPr>
      <w:r w:rsidRPr="00C03D27">
        <w:rPr>
          <w:rFonts w:ascii="Times New Roman" w:hAnsi="Times New Roman" w:cs="Times New Roman"/>
          <w:sz w:val="24"/>
          <w:szCs w:val="24"/>
        </w:rPr>
        <w:t>HAGYOMÁNY, IDENTITÁS, TÖRTÉNELEM VIII. (HIT2025) címmel egyház- és művelődéstörténeti tudományos konferenci</w:t>
      </w:r>
      <w:r>
        <w:rPr>
          <w:rFonts w:ascii="Times New Roman" w:hAnsi="Times New Roman" w:cs="Times New Roman"/>
          <w:sz w:val="24"/>
          <w:szCs w:val="24"/>
        </w:rPr>
        <w:t xml:space="preserve">a </w:t>
      </w:r>
      <w:r w:rsidRPr="00C03D27">
        <w:rPr>
          <w:rFonts w:ascii="Times New Roman" w:hAnsi="Times New Roman" w:cs="Times New Roman"/>
          <w:sz w:val="24"/>
          <w:szCs w:val="24"/>
        </w:rPr>
        <w:t>2025. október 21</w:t>
      </w:r>
      <w:r>
        <w:rPr>
          <w:rFonts w:ascii="Times New Roman" w:hAnsi="Times New Roman" w:cs="Times New Roman"/>
          <w:sz w:val="24"/>
          <w:szCs w:val="24"/>
        </w:rPr>
        <w:t>.-én.</w:t>
      </w:r>
    </w:p>
    <w:p w14:paraId="63A0EE60" w14:textId="77777777" w:rsidR="00C03D27" w:rsidRDefault="00C03D27" w:rsidP="00FA2DCC">
      <w:pPr>
        <w:spacing w:after="0" w:line="280" w:lineRule="exact"/>
        <w:rPr>
          <w:rFonts w:ascii="Times New Roman" w:hAnsi="Times New Roman" w:cs="Times New Roman"/>
          <w:sz w:val="24"/>
          <w:szCs w:val="24"/>
        </w:rPr>
      </w:pPr>
    </w:p>
    <w:p w14:paraId="4F3E5772" w14:textId="75E6A594" w:rsidR="00C006B2" w:rsidRDefault="00C006B2"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Kooperatív Doktori Program Konferencia, 2025. november 3. </w:t>
      </w:r>
    </w:p>
    <w:p w14:paraId="22E39530" w14:textId="77777777" w:rsidR="00C006B2" w:rsidRDefault="00C006B2" w:rsidP="00FA2DCC">
      <w:pPr>
        <w:spacing w:after="0" w:line="280" w:lineRule="exact"/>
        <w:rPr>
          <w:rFonts w:ascii="Times New Roman" w:hAnsi="Times New Roman" w:cs="Times New Roman"/>
          <w:sz w:val="24"/>
          <w:szCs w:val="24"/>
        </w:rPr>
      </w:pPr>
    </w:p>
    <w:p w14:paraId="2F1D89D4" w14:textId="77777777" w:rsidR="00062D15" w:rsidRPr="009B443F" w:rsidRDefault="00062D15" w:rsidP="00FA2DCC">
      <w:pPr>
        <w:spacing w:after="0" w:line="280" w:lineRule="exact"/>
        <w:rPr>
          <w:rFonts w:ascii="Times New Roman" w:hAnsi="Times New Roman" w:cs="Times New Roman"/>
          <w:sz w:val="24"/>
          <w:szCs w:val="24"/>
        </w:rPr>
      </w:pPr>
    </w:p>
    <w:p w14:paraId="7E602903" w14:textId="6CAD41A8" w:rsidR="00FA2DCC" w:rsidRPr="00F66CD9" w:rsidRDefault="00FA2DCC" w:rsidP="00FA2DCC">
      <w:pPr>
        <w:spacing w:after="0" w:line="280" w:lineRule="exact"/>
        <w:rPr>
          <w:rFonts w:ascii="Times New Roman" w:hAnsi="Times New Roman" w:cs="Times New Roman"/>
          <w:b/>
          <w:bCs/>
          <w:sz w:val="24"/>
          <w:szCs w:val="24"/>
        </w:rPr>
      </w:pPr>
      <w:r w:rsidRPr="00F66CD9">
        <w:rPr>
          <w:rFonts w:ascii="Times New Roman" w:hAnsi="Times New Roman" w:cs="Times New Roman"/>
          <w:b/>
          <w:bCs/>
          <w:sz w:val="24"/>
          <w:szCs w:val="24"/>
        </w:rPr>
        <w:t>6. Tanulástámogatás, hallgatói szolgáltatások</w:t>
      </w:r>
    </w:p>
    <w:p w14:paraId="323A85E8" w14:textId="77777777" w:rsidR="00F66CD9" w:rsidRDefault="00F66CD9" w:rsidP="001C2304">
      <w:pPr>
        <w:spacing w:after="3" w:line="256" w:lineRule="auto"/>
        <w:ind w:left="284" w:right="2"/>
        <w:contextualSpacing/>
        <w:jc w:val="both"/>
        <w:rPr>
          <w:rFonts w:ascii="Times New Roman" w:eastAsia="Times New Roman" w:hAnsi="Times New Roman" w:cs="Times New Roman"/>
          <w:sz w:val="24"/>
          <w:szCs w:val="24"/>
          <w:lang w:eastAsia="hu-HU"/>
        </w:rPr>
      </w:pPr>
    </w:p>
    <w:p w14:paraId="0A0F81A7" w14:textId="0A2FF3EB" w:rsidR="001C2304" w:rsidRPr="00E53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r w:rsidRPr="00E53304">
        <w:rPr>
          <w:rFonts w:ascii="Times New Roman" w:eastAsia="Times New Roman" w:hAnsi="Times New Roman" w:cs="Times New Roman"/>
          <w:sz w:val="24"/>
          <w:szCs w:val="24"/>
          <w:lang w:eastAsia="hu-HU"/>
        </w:rPr>
        <w:t xml:space="preserve">A hallgatók </w:t>
      </w:r>
      <w:r w:rsidRPr="00E53304">
        <w:rPr>
          <w:rFonts w:ascii="Times New Roman" w:eastAsia="Times New Roman" w:hAnsi="Times New Roman" w:cs="Times New Roman"/>
          <w:i/>
          <w:iCs/>
          <w:sz w:val="24"/>
          <w:szCs w:val="24"/>
          <w:lang w:eastAsia="hu-HU"/>
        </w:rPr>
        <w:t>oktatói mentorálásának</w:t>
      </w:r>
      <w:r w:rsidRPr="00E53304">
        <w:rPr>
          <w:rFonts w:ascii="Times New Roman" w:eastAsia="Times New Roman" w:hAnsi="Times New Roman" w:cs="Times New Roman"/>
          <w:sz w:val="24"/>
          <w:szCs w:val="24"/>
          <w:lang w:eastAsia="hu-HU"/>
        </w:rPr>
        <w:t xml:space="preserve"> sok évtizedes hagyománya van a szakon, mely folyamatosan működik kis változásokkal, melyeket Kari Tanács szabályoz az alakuló igényekhez igazítva a rendszert. A felvett hallgatók mindegyike kap tanár mentort, a kiválasztás az oktató felől indul és a Kari Tanács hagyja jóvá. Az oktató rendszeresen megbeszélések során figyelemmel kíséri a mentorált 1-2 hallgató tanulmányi, közösségi és lelki fejlődését. Az egyéni oktatói mentoráláson túl minden évfolyamnak van évfolyamfelelős oktatója, aki heti rendszerességgel konzultál az évfolyammal. Ezek tematikájának meghatározása és tantervben rögzítése a 2025. évben történt meg „Felkészítés a lelkipásztori szolgálatra” címmel az 1-10. szemeszterekben. A tematika a hallgatói igényeknek hallgatói fórumon történt felmérésével és az évfolyamfelelős oktatók bevonásával került kidolgozásra és a Kari Tanács fogadta el. </w:t>
      </w:r>
    </w:p>
    <w:p w14:paraId="0FED9A25" w14:textId="77777777" w:rsidR="001C2304" w:rsidRPr="00E53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r w:rsidRPr="00E53304">
        <w:rPr>
          <w:rFonts w:ascii="Times New Roman" w:eastAsia="Times New Roman" w:hAnsi="Times New Roman" w:cs="Times New Roman"/>
          <w:sz w:val="24"/>
          <w:szCs w:val="24"/>
          <w:lang w:eastAsia="hu-HU"/>
        </w:rPr>
        <w:tab/>
        <w:t xml:space="preserve">Speciális tanulmányi vezetést kérhet a hallgató bármely oktatótól (tutorálás), akár TDK, OTDK, vagy a szakterület valamely speciális területében való mélyebb kutatás támogatására. </w:t>
      </w:r>
    </w:p>
    <w:p w14:paraId="293F32F1" w14:textId="77777777" w:rsidR="001C2304" w:rsidRPr="00E53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r w:rsidRPr="00E53304">
        <w:rPr>
          <w:rFonts w:ascii="Times New Roman" w:eastAsia="Times New Roman" w:hAnsi="Times New Roman" w:cs="Times New Roman"/>
          <w:sz w:val="24"/>
          <w:szCs w:val="24"/>
          <w:lang w:eastAsia="hu-HU"/>
        </w:rPr>
        <w:tab/>
        <w:t>A hallgató mentor lelkészt választ, aki évente írásban számol be a hallgató gyülekezeti jelenlétéről, munkájáról, fejlődéséről a Minősítő Bizottságnak (TVSz 4. sz. Függelék V.1.). A hatodév során a fenntartó egyházkerület vezetősége a dékánnal megbeszélve választ mentorlelkészt (és gyülekezetet) a hallgatónak, ahol 11-12. féléves szakmai gyakorlatát végzi. A mentorlelkésztől elvárt követelményeket a fenntartó szabályozza, és részt kell vegyen a Kar által szervezett felkészítésen is.</w:t>
      </w:r>
    </w:p>
    <w:p w14:paraId="7892158C" w14:textId="77777777" w:rsidR="001C2304" w:rsidRPr="00E53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r w:rsidRPr="00E53304">
        <w:rPr>
          <w:rFonts w:ascii="Times New Roman" w:eastAsia="Times New Roman" w:hAnsi="Times New Roman" w:cs="Times New Roman"/>
          <w:sz w:val="24"/>
          <w:szCs w:val="24"/>
          <w:lang w:eastAsia="hu-HU"/>
        </w:rPr>
        <w:tab/>
        <w:t xml:space="preserve">A </w:t>
      </w:r>
      <w:r w:rsidRPr="00E53304">
        <w:rPr>
          <w:rFonts w:ascii="Times New Roman" w:eastAsia="Times New Roman" w:hAnsi="Times New Roman" w:cs="Times New Roman"/>
          <w:i/>
          <w:iCs/>
          <w:sz w:val="24"/>
          <w:szCs w:val="24"/>
          <w:lang w:eastAsia="hu-HU"/>
        </w:rPr>
        <w:t>hallgatói mentorálás</w:t>
      </w:r>
      <w:r w:rsidRPr="00E53304">
        <w:rPr>
          <w:rFonts w:ascii="Times New Roman" w:eastAsia="Times New Roman" w:hAnsi="Times New Roman" w:cs="Times New Roman"/>
          <w:sz w:val="24"/>
          <w:szCs w:val="24"/>
          <w:lang w:eastAsia="hu-HU"/>
        </w:rPr>
        <w:t xml:space="preserve"> rendszerét a HÖK Alapszabályának 1. Melléklete írja le:</w:t>
      </w:r>
    </w:p>
    <w:p w14:paraId="17519F70" w14:textId="77777777" w:rsidR="001C2304" w:rsidRPr="00E53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hyperlink r:id="rId7" w:history="1">
        <w:r w:rsidRPr="00E53304">
          <w:rPr>
            <w:rStyle w:val="Hiperhivatkozs"/>
            <w:rFonts w:ascii="Times New Roman" w:eastAsia="Times New Roman" w:hAnsi="Times New Roman" w:cs="Times New Roman"/>
            <w:sz w:val="24"/>
            <w:szCs w:val="24"/>
            <w:lang w:eastAsia="hu-HU"/>
          </w:rPr>
          <w:t>https://htk.kre.hu/images/doc/hok/2024_HOK_Alapszabaly.pdf</w:t>
        </w:r>
      </w:hyperlink>
    </w:p>
    <w:p w14:paraId="315E3DAA" w14:textId="3FBE9753" w:rsidR="001C2304" w:rsidRPr="00E53304" w:rsidRDefault="001C2304" w:rsidP="001C2304">
      <w:pPr>
        <w:spacing w:after="3" w:line="256" w:lineRule="auto"/>
        <w:ind w:left="-73" w:right="2"/>
        <w:contextualSpacing/>
        <w:jc w:val="both"/>
        <w:rPr>
          <w:rFonts w:ascii="Times New Roman" w:eastAsia="Times New Roman" w:hAnsi="Times New Roman" w:cs="Times New Roman"/>
          <w:b/>
          <w:i/>
          <w:iCs/>
          <w:sz w:val="24"/>
          <w:szCs w:val="24"/>
          <w:lang w:eastAsia="hu-HU"/>
        </w:rPr>
      </w:pPr>
      <w:r w:rsidRPr="00E53304">
        <w:rPr>
          <w:rFonts w:ascii="Times New Roman" w:eastAsia="Times New Roman" w:hAnsi="Times New Roman" w:cs="Times New Roman"/>
          <w:i/>
          <w:iCs/>
          <w:sz w:val="24"/>
          <w:szCs w:val="24"/>
          <w:lang w:eastAsia="hu-HU"/>
        </w:rPr>
        <w:t xml:space="preserve">Tanulásmódszertani tanácsadás </w:t>
      </w:r>
    </w:p>
    <w:p w14:paraId="07708285" w14:textId="77777777" w:rsidR="001C2304" w:rsidRDefault="001C2304" w:rsidP="001C2304">
      <w:pPr>
        <w:spacing w:after="3" w:line="256" w:lineRule="auto"/>
        <w:ind w:left="284" w:right="2"/>
        <w:contextualSpacing/>
        <w:jc w:val="both"/>
        <w:rPr>
          <w:rFonts w:ascii="Times New Roman" w:eastAsia="Times New Roman" w:hAnsi="Times New Roman" w:cs="Times New Roman"/>
          <w:sz w:val="24"/>
          <w:szCs w:val="24"/>
          <w:lang w:eastAsia="hu-HU"/>
        </w:rPr>
      </w:pPr>
      <w:r w:rsidRPr="00E53304">
        <w:rPr>
          <w:rFonts w:ascii="Times New Roman" w:eastAsia="Times New Roman" w:hAnsi="Times New Roman" w:cs="Times New Roman"/>
          <w:sz w:val="24"/>
          <w:szCs w:val="24"/>
          <w:lang w:eastAsia="hu-HU"/>
        </w:rPr>
        <w:t>A tanulásmódszertani tanácsadás részben kortárs segítőkön keresztül történik (felsőbbéves mentorok), részben oktatói támogatással (lásd részletesen az előző pontnál). Tantervi keretben is van tanulásmódszertani támogatás az első félév Proszeminárium tantárgy kifejezetten ezt a célt szolgálja.</w:t>
      </w:r>
    </w:p>
    <w:p w14:paraId="3CF93132" w14:textId="77777777" w:rsidR="00F66353" w:rsidRPr="00E53304" w:rsidRDefault="00F66353" w:rsidP="001C2304">
      <w:pPr>
        <w:spacing w:after="3" w:line="256" w:lineRule="auto"/>
        <w:ind w:left="284" w:right="2"/>
        <w:contextualSpacing/>
        <w:jc w:val="both"/>
        <w:rPr>
          <w:rFonts w:ascii="Times New Roman" w:eastAsia="Times New Roman" w:hAnsi="Times New Roman" w:cs="Times New Roman"/>
          <w:b/>
          <w:i/>
          <w:iCs/>
          <w:sz w:val="24"/>
          <w:szCs w:val="24"/>
          <w:lang w:eastAsia="hu-HU"/>
        </w:rPr>
      </w:pPr>
    </w:p>
    <w:p w14:paraId="1BD9697E" w14:textId="77777777" w:rsidR="00062D15" w:rsidRPr="009B443F" w:rsidRDefault="00062D15" w:rsidP="00FA2DCC">
      <w:pPr>
        <w:spacing w:after="0" w:line="280" w:lineRule="exact"/>
        <w:rPr>
          <w:rFonts w:ascii="Times New Roman" w:hAnsi="Times New Roman" w:cs="Times New Roman"/>
          <w:sz w:val="24"/>
          <w:szCs w:val="24"/>
        </w:rPr>
      </w:pPr>
    </w:p>
    <w:p w14:paraId="4AF65EB4" w14:textId="1B3D5B04" w:rsidR="00FA2DCC" w:rsidRPr="00F66CD9" w:rsidRDefault="00FA2DCC" w:rsidP="00FA2DCC">
      <w:pPr>
        <w:spacing w:after="0" w:line="280" w:lineRule="exact"/>
        <w:rPr>
          <w:rFonts w:ascii="Times New Roman" w:hAnsi="Times New Roman" w:cs="Times New Roman"/>
          <w:b/>
          <w:bCs/>
          <w:sz w:val="24"/>
          <w:szCs w:val="24"/>
        </w:rPr>
      </w:pPr>
      <w:r w:rsidRPr="00F66CD9">
        <w:rPr>
          <w:rFonts w:ascii="Times New Roman" w:hAnsi="Times New Roman" w:cs="Times New Roman"/>
          <w:b/>
          <w:bCs/>
          <w:sz w:val="24"/>
          <w:szCs w:val="24"/>
        </w:rPr>
        <w:lastRenderedPageBreak/>
        <w:t>7. Információkezelés, nyilvánosság, külső és belső kommunikáció</w:t>
      </w:r>
    </w:p>
    <w:p w14:paraId="60B74EF3" w14:textId="77777777" w:rsidR="00062D15" w:rsidRDefault="00062D15" w:rsidP="00FA2DCC">
      <w:pPr>
        <w:spacing w:after="0" w:line="280" w:lineRule="exact"/>
        <w:rPr>
          <w:rFonts w:ascii="Times New Roman" w:hAnsi="Times New Roman" w:cs="Times New Roman"/>
          <w:sz w:val="24"/>
          <w:szCs w:val="24"/>
        </w:rPr>
      </w:pPr>
    </w:p>
    <w:p w14:paraId="47F536FE" w14:textId="0DA84574" w:rsidR="00DC727A" w:rsidRDefault="00DC727A"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kari döntéshozási folyamat átalakításával kis részben változtak a belső kommunikációs folyamatok is. A dékán hetente tart munkatársi megbeszélést a folyó ügyek</w:t>
      </w:r>
      <w:r w:rsidR="000434E3">
        <w:rPr>
          <w:rFonts w:ascii="Times New Roman" w:hAnsi="Times New Roman" w:cs="Times New Roman"/>
          <w:sz w:val="24"/>
          <w:szCs w:val="24"/>
        </w:rPr>
        <w:t>ről és a következő feladatokról való egyeztetésre a Dékáni Hivatal munkatársainak és a dékánhelyetteseknek. Ezekre a megbeszélésekre havonta meghívást kap a HÖK vezetése, a könyvtár vezetője és a spirituálisok is (ez jelenleg fedi a Kollégium vezetését is). A Kari Tanácson tárgyalt témákról a tanszékvezetők tájékoztatják a tanszéki oktatókat, a HÖK képviselet pedig a hallgatókat. Félévente van összoktatói fórum, és kari fórum (itt a hallgatók is részt vesznek). Tehát a képviseleti részvételen túl minden kari polgárnak lehetősége van közvetlenül is hozzáférni az őt érintő információkhoz és felvetéseket tenni a döntéshozatal számára. Fontos fóruma a kari nyilvánosságnak a heti kari istentisztelethez kapcsolódó hirdetések, mely során mind a kari vezetés, mind az oktatók, mind a hallgatók lehetőséget kapnak a közösséget érintő információk megosztására. Ezekre az alkalmakra minden kari polgár hivatalos.</w:t>
      </w:r>
    </w:p>
    <w:p w14:paraId="5C89DE32" w14:textId="4E626CA9" w:rsidR="000434E3" w:rsidRDefault="00F66CD9"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b/>
      </w:r>
      <w:r w:rsidR="000434E3">
        <w:rPr>
          <w:rFonts w:ascii="Times New Roman" w:hAnsi="Times New Roman" w:cs="Times New Roman"/>
          <w:sz w:val="24"/>
          <w:szCs w:val="24"/>
        </w:rPr>
        <w:t>Az információkezelés az egyetemi szabályozás szerint történik, bizonyos szenzitív személyes adatok (vallásgyakorlásra</w:t>
      </w:r>
      <w:r>
        <w:rPr>
          <w:rFonts w:ascii="Times New Roman" w:hAnsi="Times New Roman" w:cs="Times New Roman"/>
          <w:sz w:val="24"/>
          <w:szCs w:val="24"/>
        </w:rPr>
        <w:t>, egészségi állapotra</w:t>
      </w:r>
      <w:r w:rsidR="000434E3">
        <w:rPr>
          <w:rFonts w:ascii="Times New Roman" w:hAnsi="Times New Roman" w:cs="Times New Roman"/>
          <w:sz w:val="24"/>
          <w:szCs w:val="24"/>
        </w:rPr>
        <w:t xml:space="preserve"> vonatkozó információk) kezelés</w:t>
      </w:r>
      <w:r>
        <w:rPr>
          <w:rFonts w:ascii="Times New Roman" w:hAnsi="Times New Roman" w:cs="Times New Roman"/>
          <w:sz w:val="24"/>
          <w:szCs w:val="24"/>
        </w:rPr>
        <w:t>e vetett fel kérdéseket az év során, ebben az egyetemi adatvédelmi tisztviselőjétől kértünk útmutatást.</w:t>
      </w:r>
    </w:p>
    <w:p w14:paraId="40B401B2" w14:textId="77777777" w:rsidR="000434E3" w:rsidRDefault="000434E3" w:rsidP="00FA2DCC">
      <w:pPr>
        <w:spacing w:after="0" w:line="280" w:lineRule="exact"/>
        <w:rPr>
          <w:rFonts w:ascii="Times New Roman" w:hAnsi="Times New Roman" w:cs="Times New Roman"/>
          <w:sz w:val="24"/>
          <w:szCs w:val="24"/>
        </w:rPr>
      </w:pPr>
    </w:p>
    <w:p w14:paraId="5CD71C09" w14:textId="77777777" w:rsidR="00DC727A" w:rsidRPr="009B443F" w:rsidRDefault="00DC727A" w:rsidP="00FA2DCC">
      <w:pPr>
        <w:spacing w:after="0" w:line="280" w:lineRule="exact"/>
        <w:rPr>
          <w:rFonts w:ascii="Times New Roman" w:hAnsi="Times New Roman" w:cs="Times New Roman"/>
          <w:sz w:val="24"/>
          <w:szCs w:val="24"/>
        </w:rPr>
      </w:pPr>
    </w:p>
    <w:p w14:paraId="4287202D" w14:textId="3E44B77E" w:rsidR="00FA2DCC" w:rsidRDefault="00FA2DCC" w:rsidP="00FA2DCC">
      <w:pPr>
        <w:spacing w:after="0" w:line="280" w:lineRule="exact"/>
        <w:rPr>
          <w:rFonts w:ascii="Times New Roman" w:hAnsi="Times New Roman" w:cs="Times New Roman"/>
          <w:b/>
          <w:bCs/>
          <w:sz w:val="24"/>
          <w:szCs w:val="24"/>
        </w:rPr>
      </w:pPr>
      <w:r w:rsidRPr="00F66CD9">
        <w:rPr>
          <w:rFonts w:ascii="Times New Roman" w:hAnsi="Times New Roman" w:cs="Times New Roman"/>
          <w:b/>
          <w:bCs/>
          <w:sz w:val="24"/>
          <w:szCs w:val="24"/>
        </w:rPr>
        <w:t>8. Kutatás, kutatásfejlesztés</w:t>
      </w:r>
    </w:p>
    <w:p w14:paraId="598E2C42" w14:textId="77777777" w:rsidR="00F66CD9" w:rsidRPr="00F66CD9" w:rsidRDefault="00F66CD9" w:rsidP="00FA2DCC">
      <w:pPr>
        <w:spacing w:after="0" w:line="280" w:lineRule="exact"/>
        <w:rPr>
          <w:rFonts w:ascii="Times New Roman" w:hAnsi="Times New Roman" w:cs="Times New Roman"/>
          <w:b/>
          <w:bCs/>
          <w:sz w:val="24"/>
          <w:szCs w:val="24"/>
        </w:rPr>
      </w:pPr>
    </w:p>
    <w:p w14:paraId="36CB2E82" w14:textId="7DA83C08" w:rsidR="00FA2DCC" w:rsidRPr="000A1E54" w:rsidRDefault="00FA2DCC" w:rsidP="00FA2DCC">
      <w:pPr>
        <w:spacing w:after="0" w:line="280" w:lineRule="exact"/>
        <w:rPr>
          <w:rFonts w:ascii="Times New Roman" w:hAnsi="Times New Roman" w:cs="Times New Roman"/>
          <w:i/>
          <w:iCs/>
          <w:sz w:val="24"/>
          <w:szCs w:val="24"/>
        </w:rPr>
      </w:pPr>
      <w:r w:rsidRPr="000A1E54">
        <w:rPr>
          <w:rFonts w:ascii="Times New Roman" w:hAnsi="Times New Roman" w:cs="Times New Roman"/>
          <w:i/>
          <w:iCs/>
          <w:sz w:val="24"/>
          <w:szCs w:val="24"/>
        </w:rPr>
        <w:t>a) oktatók tudományos tevékenységének mérőszámai, eredménymutatói;</w:t>
      </w:r>
    </w:p>
    <w:p w14:paraId="783C424D" w14:textId="477DFA21" w:rsidR="000A1E54" w:rsidRDefault="000A1E54"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Az oktatók </w:t>
      </w:r>
      <w:r w:rsidRPr="009B443F">
        <w:rPr>
          <w:rFonts w:ascii="Times New Roman" w:hAnsi="Times New Roman" w:cs="Times New Roman"/>
          <w:sz w:val="24"/>
          <w:szCs w:val="24"/>
        </w:rPr>
        <w:t>tudományos tevékenységé</w:t>
      </w:r>
      <w:r>
        <w:rPr>
          <w:rFonts w:ascii="Times New Roman" w:hAnsi="Times New Roman" w:cs="Times New Roman"/>
          <w:sz w:val="24"/>
          <w:szCs w:val="24"/>
        </w:rPr>
        <w:t>t részben a KRE-TÉR-ben egyetemi szinten megszabott mutatók alapján mérjük, részben a 3. missziós tevékenység kari értékelésével. Ez a fenntartói minőségcélok érvényesítése miatt is szükséges, hiszen a gyülekezetközpontú képzés érdekében az oktatók egyházi szerepvállalásának fenntartói igénye versenyhátrányt jelentene az egyetem többi oktatójával szemben, ha csak a KRE-TÉR központi, minden oktatóra egyformán érvényes mérőszámai alapján értékelnénk oktatóink tudományos tevékenységét.</w:t>
      </w:r>
    </w:p>
    <w:p w14:paraId="5963B98E" w14:textId="405AB2EE" w:rsidR="004D7756" w:rsidRDefault="004D7756"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MTMT publikációk száma 2025-ben </w:t>
      </w:r>
      <w:r>
        <w:rPr>
          <w:rFonts w:ascii="Times New Roman" w:eastAsia="Times New Roman" w:hAnsi="Times New Roman" w:cs="Times New Roman"/>
          <w:color w:val="000000"/>
          <w:sz w:val="24"/>
          <w:szCs w:val="24"/>
          <w:lang w:eastAsia="hu-HU"/>
        </w:rPr>
        <w:t>72 tétel (az ismeretterjesztő és a kegyességi irodalmat nem számolva ide), linkek a szakos önértékelésben.</w:t>
      </w:r>
    </w:p>
    <w:p w14:paraId="4065A6FD" w14:textId="77777777" w:rsidR="000A1E54" w:rsidRPr="009B443F" w:rsidRDefault="000A1E54" w:rsidP="00FA2DCC">
      <w:pPr>
        <w:spacing w:after="0" w:line="280" w:lineRule="exact"/>
        <w:rPr>
          <w:rFonts w:ascii="Times New Roman" w:hAnsi="Times New Roman" w:cs="Times New Roman"/>
          <w:sz w:val="24"/>
          <w:szCs w:val="24"/>
        </w:rPr>
      </w:pPr>
    </w:p>
    <w:p w14:paraId="702A0579" w14:textId="2B936DE7" w:rsidR="00FA2DCC" w:rsidRPr="000A1E54" w:rsidRDefault="00FA2DCC" w:rsidP="00FA2DCC">
      <w:pPr>
        <w:spacing w:after="0" w:line="280" w:lineRule="exact"/>
        <w:rPr>
          <w:rFonts w:ascii="Times New Roman" w:hAnsi="Times New Roman" w:cs="Times New Roman"/>
          <w:i/>
          <w:iCs/>
          <w:sz w:val="24"/>
          <w:szCs w:val="24"/>
        </w:rPr>
      </w:pPr>
      <w:r w:rsidRPr="000A1E54">
        <w:rPr>
          <w:rFonts w:ascii="Times New Roman" w:hAnsi="Times New Roman" w:cs="Times New Roman"/>
          <w:i/>
          <w:iCs/>
          <w:sz w:val="24"/>
          <w:szCs w:val="24"/>
        </w:rPr>
        <w:t>b) kutatócsoportok tevékenységének mérőszámai, eredménymutatói;</w:t>
      </w:r>
    </w:p>
    <w:p w14:paraId="0A210B0D" w14:textId="7C587587" w:rsidR="000A1E54" w:rsidRDefault="000A1E54"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kutatócsoportok 2025-ben alapvetően az egyetem által biztosított kutatási pályázatok keretében működtek, a pályázatok által támasztott mérőszámok jelentik számukra az eredményesség mutatóit.</w:t>
      </w:r>
    </w:p>
    <w:p w14:paraId="1C8973A0" w14:textId="77777777" w:rsidR="000A1E54" w:rsidRPr="009B443F" w:rsidRDefault="000A1E54" w:rsidP="00FA2DCC">
      <w:pPr>
        <w:spacing w:after="0" w:line="280" w:lineRule="exact"/>
        <w:rPr>
          <w:rFonts w:ascii="Times New Roman" w:hAnsi="Times New Roman" w:cs="Times New Roman"/>
          <w:sz w:val="24"/>
          <w:szCs w:val="24"/>
        </w:rPr>
      </w:pPr>
    </w:p>
    <w:p w14:paraId="654E46F3" w14:textId="68209616" w:rsidR="00FA2DCC" w:rsidRPr="000A1E54" w:rsidRDefault="00FA2DCC" w:rsidP="00FA2DCC">
      <w:pPr>
        <w:spacing w:after="0" w:line="280" w:lineRule="exact"/>
        <w:rPr>
          <w:rFonts w:ascii="Times New Roman" w:hAnsi="Times New Roman" w:cs="Times New Roman"/>
          <w:i/>
          <w:iCs/>
          <w:sz w:val="24"/>
          <w:szCs w:val="24"/>
        </w:rPr>
      </w:pPr>
      <w:r w:rsidRPr="000A1E54">
        <w:rPr>
          <w:rFonts w:ascii="Times New Roman" w:hAnsi="Times New Roman" w:cs="Times New Roman"/>
          <w:i/>
          <w:iCs/>
          <w:sz w:val="24"/>
          <w:szCs w:val="24"/>
        </w:rPr>
        <w:t>c) hallgatói műhelyek, hallgatói tudományos eredmények;</w:t>
      </w:r>
    </w:p>
    <w:p w14:paraId="1758F0BC" w14:textId="3139B716" w:rsidR="000A1E54" w:rsidRDefault="000A1E54"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hallgatókra vonatkozó eredményeket lásd a szakos értékelésekben (TDK, pályázati részvétel).</w:t>
      </w:r>
    </w:p>
    <w:p w14:paraId="261414BF" w14:textId="77777777" w:rsidR="000A1E54" w:rsidRDefault="000A1E54" w:rsidP="00FA2DCC">
      <w:pPr>
        <w:spacing w:after="0" w:line="280" w:lineRule="exact"/>
        <w:rPr>
          <w:rFonts w:ascii="Times New Roman" w:hAnsi="Times New Roman" w:cs="Times New Roman"/>
          <w:sz w:val="24"/>
          <w:szCs w:val="24"/>
        </w:rPr>
      </w:pPr>
    </w:p>
    <w:p w14:paraId="3B293984" w14:textId="77777777" w:rsidR="00F66353" w:rsidRPr="009B443F" w:rsidRDefault="00F66353" w:rsidP="00FA2DCC">
      <w:pPr>
        <w:spacing w:after="0" w:line="280" w:lineRule="exact"/>
        <w:rPr>
          <w:rFonts w:ascii="Times New Roman" w:hAnsi="Times New Roman" w:cs="Times New Roman"/>
          <w:sz w:val="24"/>
          <w:szCs w:val="24"/>
        </w:rPr>
      </w:pPr>
    </w:p>
    <w:p w14:paraId="5F64DEB1" w14:textId="134E6C5A" w:rsidR="00FA2DCC" w:rsidRPr="000A1E54" w:rsidRDefault="00FA2DCC" w:rsidP="00FA2DCC">
      <w:pPr>
        <w:spacing w:after="0" w:line="280" w:lineRule="exact"/>
        <w:rPr>
          <w:rFonts w:ascii="Times New Roman" w:hAnsi="Times New Roman" w:cs="Times New Roman"/>
          <w:i/>
          <w:iCs/>
          <w:sz w:val="24"/>
          <w:szCs w:val="24"/>
        </w:rPr>
      </w:pPr>
      <w:r w:rsidRPr="000A1E54">
        <w:rPr>
          <w:rFonts w:ascii="Times New Roman" w:hAnsi="Times New Roman" w:cs="Times New Roman"/>
          <w:i/>
          <w:iCs/>
          <w:sz w:val="24"/>
          <w:szCs w:val="24"/>
        </w:rPr>
        <w:t>d) kutatási programok kialakítása, jóváhagyása, és figyelemmel kísérése.</w:t>
      </w:r>
    </w:p>
    <w:p w14:paraId="4C886593" w14:textId="782F1AC7" w:rsidR="00960E1E" w:rsidRDefault="000A1E54"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 kutatási programok felügyeletét a kari Tudományos Tanács</w:t>
      </w:r>
      <w:r w:rsidR="00C819CE">
        <w:rPr>
          <w:rFonts w:ascii="Times New Roman" w:hAnsi="Times New Roman" w:cs="Times New Roman"/>
          <w:sz w:val="24"/>
          <w:szCs w:val="24"/>
        </w:rPr>
        <w:t xml:space="preserve"> feladatkörében a Kari Tanács látja el. </w:t>
      </w:r>
    </w:p>
    <w:p w14:paraId="33D22449" w14:textId="77777777" w:rsidR="00F66353" w:rsidRDefault="00F66353" w:rsidP="00FA2DCC">
      <w:pPr>
        <w:spacing w:after="0" w:line="280" w:lineRule="exact"/>
        <w:rPr>
          <w:rFonts w:ascii="Times New Roman" w:hAnsi="Times New Roman" w:cs="Times New Roman"/>
          <w:sz w:val="24"/>
          <w:szCs w:val="24"/>
        </w:rPr>
      </w:pPr>
    </w:p>
    <w:p w14:paraId="5D6F7361" w14:textId="77777777" w:rsidR="00F66353" w:rsidRDefault="00F66353" w:rsidP="00FA2DCC">
      <w:pPr>
        <w:spacing w:after="0" w:line="280" w:lineRule="exact"/>
        <w:rPr>
          <w:rFonts w:ascii="Times New Roman" w:hAnsi="Times New Roman" w:cs="Times New Roman"/>
          <w:sz w:val="24"/>
          <w:szCs w:val="24"/>
        </w:rPr>
      </w:pPr>
    </w:p>
    <w:p w14:paraId="7975AC65" w14:textId="77777777" w:rsidR="00F66353" w:rsidRDefault="00F66353" w:rsidP="00FA2DCC">
      <w:pPr>
        <w:spacing w:after="0" w:line="280" w:lineRule="exact"/>
        <w:rPr>
          <w:rFonts w:ascii="Times New Roman" w:hAnsi="Times New Roman" w:cs="Times New Roman"/>
          <w:sz w:val="24"/>
          <w:szCs w:val="24"/>
        </w:rPr>
      </w:pPr>
    </w:p>
    <w:p w14:paraId="32B10A7E" w14:textId="77777777" w:rsidR="00F66353" w:rsidRDefault="00F66353" w:rsidP="00FA2DCC">
      <w:pPr>
        <w:spacing w:after="0" w:line="280" w:lineRule="exact"/>
        <w:rPr>
          <w:rFonts w:ascii="Times New Roman" w:hAnsi="Times New Roman" w:cs="Times New Roman"/>
          <w:sz w:val="24"/>
          <w:szCs w:val="24"/>
        </w:rPr>
      </w:pPr>
    </w:p>
    <w:p w14:paraId="1FB3E588" w14:textId="77777777" w:rsidR="00F66353" w:rsidRDefault="00F66353" w:rsidP="00FA2DCC">
      <w:pPr>
        <w:spacing w:after="0" w:line="280" w:lineRule="exact"/>
        <w:rPr>
          <w:rFonts w:ascii="Times New Roman" w:hAnsi="Times New Roman" w:cs="Times New Roman"/>
          <w:sz w:val="24"/>
          <w:szCs w:val="24"/>
        </w:rPr>
      </w:pPr>
    </w:p>
    <w:p w14:paraId="2AEB857E" w14:textId="77777777" w:rsidR="00F66353" w:rsidRDefault="00F66353" w:rsidP="00FA2DCC">
      <w:pPr>
        <w:spacing w:after="0" w:line="280" w:lineRule="exact"/>
        <w:rPr>
          <w:rFonts w:ascii="Times New Roman" w:hAnsi="Times New Roman" w:cs="Times New Roman"/>
          <w:sz w:val="24"/>
          <w:szCs w:val="24"/>
        </w:rPr>
      </w:pPr>
    </w:p>
    <w:p w14:paraId="522B3411" w14:textId="58017F95" w:rsidR="00FA2DCC" w:rsidRPr="00C819CE" w:rsidRDefault="00FA2DCC" w:rsidP="00FA2DCC">
      <w:pPr>
        <w:spacing w:after="0" w:line="280" w:lineRule="exact"/>
        <w:rPr>
          <w:rFonts w:ascii="Times New Roman" w:hAnsi="Times New Roman" w:cs="Times New Roman"/>
          <w:b/>
          <w:bCs/>
          <w:sz w:val="24"/>
          <w:szCs w:val="24"/>
        </w:rPr>
      </w:pPr>
      <w:r w:rsidRPr="00C819CE">
        <w:rPr>
          <w:rFonts w:ascii="Times New Roman" w:hAnsi="Times New Roman" w:cs="Times New Roman"/>
          <w:b/>
          <w:bCs/>
          <w:sz w:val="24"/>
          <w:szCs w:val="24"/>
        </w:rPr>
        <w:lastRenderedPageBreak/>
        <w:t>9. Minőségfejlesztési programban kitűzött éves minőségcélok teljesülése (összegzés)</w:t>
      </w:r>
    </w:p>
    <w:p w14:paraId="474EF786" w14:textId="77777777" w:rsidR="00960E1E" w:rsidRDefault="00960E1E" w:rsidP="00FA2DCC">
      <w:pPr>
        <w:spacing w:after="0" w:line="280" w:lineRule="exact"/>
        <w:rPr>
          <w:rFonts w:ascii="Times New Roman" w:hAnsi="Times New Roman" w:cs="Times New Roman"/>
          <w:sz w:val="24"/>
          <w:szCs w:val="24"/>
        </w:rPr>
      </w:pPr>
    </w:p>
    <w:p w14:paraId="0410C71A" w14:textId="1D94703E" w:rsidR="00C819CE" w:rsidRDefault="00C819CE"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Az éves minőségcélok teljesülését a legfontosabb területek kiemelésével összegzem:</w:t>
      </w:r>
    </w:p>
    <w:p w14:paraId="1A04D91E" w14:textId="77777777" w:rsidR="00C819CE" w:rsidRDefault="00C819CE" w:rsidP="00FA2DCC">
      <w:pPr>
        <w:spacing w:after="0" w:line="280" w:lineRule="exact"/>
        <w:rPr>
          <w:rFonts w:ascii="Times New Roman" w:hAnsi="Times New Roman" w:cs="Times New Roman"/>
          <w:sz w:val="24"/>
          <w:szCs w:val="24"/>
        </w:rPr>
      </w:pPr>
    </w:p>
    <w:p w14:paraId="0B54F8A6" w14:textId="77777777" w:rsidR="001944E9" w:rsidRPr="001944E9" w:rsidRDefault="00C819CE" w:rsidP="00FA2DCC">
      <w:pPr>
        <w:spacing w:after="0" w:line="280" w:lineRule="exact"/>
        <w:rPr>
          <w:rFonts w:ascii="Times New Roman" w:hAnsi="Times New Roman" w:cs="Times New Roman"/>
          <w:i/>
          <w:iCs/>
          <w:sz w:val="24"/>
          <w:szCs w:val="24"/>
        </w:rPr>
      </w:pPr>
      <w:r w:rsidRPr="001944E9">
        <w:rPr>
          <w:rFonts w:ascii="Times New Roman" w:hAnsi="Times New Roman" w:cs="Times New Roman"/>
          <w:i/>
          <w:iCs/>
          <w:sz w:val="24"/>
          <w:szCs w:val="24"/>
        </w:rPr>
        <w:t>a) Az akkreditáció</w:t>
      </w:r>
      <w:r w:rsidR="001944E9" w:rsidRPr="001944E9">
        <w:rPr>
          <w:rFonts w:ascii="Times New Roman" w:hAnsi="Times New Roman" w:cs="Times New Roman"/>
          <w:i/>
          <w:iCs/>
          <w:sz w:val="24"/>
          <w:szCs w:val="24"/>
        </w:rPr>
        <w:t>s felkészülés</w:t>
      </w:r>
    </w:p>
    <w:p w14:paraId="2D7F17BE" w14:textId="55D3AEED" w:rsidR="001944E9" w:rsidRDefault="001944E9" w:rsidP="00FA2DCC">
      <w:pPr>
        <w:spacing w:after="0" w:line="280" w:lineRule="exact"/>
        <w:rPr>
          <w:rFonts w:ascii="Times New Roman" w:hAnsi="Times New Roman" w:cs="Times New Roman"/>
          <w:sz w:val="24"/>
          <w:szCs w:val="24"/>
        </w:rPr>
      </w:pPr>
    </w:p>
    <w:p w14:paraId="1F97A05B" w14:textId="2C27EE3F" w:rsidR="00C819CE" w:rsidRDefault="001944E9"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Az akkreditációban is hangsúlyos minőségbiztosítási folyamatok erősítésére a korábbi általános dékánhelyettesi poszt mellett létesített oktatási dékánhelyettes dedikált feladata a minőségbiztosítási folyamatok felügyelete, minthogy személyében kapcsolódik össze a kari és a doktori iskolai minőségbiztosítás vezetése. Az egyetemi felkészülés részeként elvégeztük a honlap ellenőrzését, a hiányzó információk feltöltését megkezdtük. Ugyanezen folyamatban elkészült a kari ügyrend, mely rögzíti az egyes kari folyamatok felelőseit és a döntéshozási mechanizmusokat. Ennek köszönhetően szabályozottá váltak olyan területek is, melyek eddig a szokásjog alapján működtek (többnyire panaszmentesen), például a fenntartóval való kapcsolattartás, a fenntartói jogok gyakorlásának rendje. </w:t>
      </w:r>
    </w:p>
    <w:p w14:paraId="2CBBD333" w14:textId="77777777" w:rsidR="00C819CE" w:rsidRDefault="00C819CE" w:rsidP="00FA2DCC">
      <w:pPr>
        <w:spacing w:after="0" w:line="280" w:lineRule="exact"/>
        <w:rPr>
          <w:rFonts w:ascii="Times New Roman" w:hAnsi="Times New Roman" w:cs="Times New Roman"/>
          <w:sz w:val="24"/>
          <w:szCs w:val="24"/>
        </w:rPr>
      </w:pPr>
    </w:p>
    <w:p w14:paraId="41DC4BAE" w14:textId="36DCA77C" w:rsidR="00C819CE" w:rsidRPr="001944E9" w:rsidRDefault="001944E9" w:rsidP="00FA2DCC">
      <w:pPr>
        <w:spacing w:after="0" w:line="280" w:lineRule="exact"/>
        <w:rPr>
          <w:rFonts w:ascii="Times New Roman" w:hAnsi="Times New Roman" w:cs="Times New Roman"/>
          <w:i/>
          <w:iCs/>
          <w:sz w:val="24"/>
          <w:szCs w:val="24"/>
        </w:rPr>
      </w:pPr>
      <w:r w:rsidRPr="001944E9">
        <w:rPr>
          <w:rFonts w:ascii="Times New Roman" w:hAnsi="Times New Roman" w:cs="Times New Roman"/>
          <w:i/>
          <w:iCs/>
          <w:sz w:val="24"/>
          <w:szCs w:val="24"/>
        </w:rPr>
        <w:t xml:space="preserve">b) A </w:t>
      </w:r>
      <w:r w:rsidR="00C819CE" w:rsidRPr="001944E9">
        <w:rPr>
          <w:rFonts w:ascii="Times New Roman" w:hAnsi="Times New Roman" w:cs="Times New Roman"/>
          <w:i/>
          <w:iCs/>
          <w:sz w:val="24"/>
          <w:szCs w:val="24"/>
        </w:rPr>
        <w:t>Stratégia</w:t>
      </w:r>
      <w:r w:rsidRPr="001944E9">
        <w:rPr>
          <w:rFonts w:ascii="Times New Roman" w:hAnsi="Times New Roman" w:cs="Times New Roman"/>
          <w:i/>
          <w:iCs/>
          <w:sz w:val="24"/>
          <w:szCs w:val="24"/>
        </w:rPr>
        <w:t xml:space="preserve"> és az </w:t>
      </w:r>
      <w:r w:rsidR="00C819CE" w:rsidRPr="001944E9">
        <w:rPr>
          <w:rFonts w:ascii="Times New Roman" w:hAnsi="Times New Roman" w:cs="Times New Roman"/>
          <w:i/>
          <w:iCs/>
          <w:sz w:val="24"/>
          <w:szCs w:val="24"/>
        </w:rPr>
        <w:t>IFT</w:t>
      </w:r>
      <w:r w:rsidRPr="001944E9">
        <w:rPr>
          <w:rFonts w:ascii="Times New Roman" w:hAnsi="Times New Roman" w:cs="Times New Roman"/>
          <w:i/>
          <w:iCs/>
          <w:sz w:val="24"/>
          <w:szCs w:val="24"/>
        </w:rPr>
        <w:t xml:space="preserve"> lebontása a HTK életére és működésére</w:t>
      </w:r>
    </w:p>
    <w:p w14:paraId="19306B05" w14:textId="77777777" w:rsidR="00C819CE" w:rsidRDefault="00C819CE" w:rsidP="00FA2DCC">
      <w:pPr>
        <w:spacing w:after="0" w:line="280" w:lineRule="exact"/>
        <w:rPr>
          <w:rFonts w:ascii="Times New Roman" w:hAnsi="Times New Roman" w:cs="Times New Roman"/>
          <w:sz w:val="24"/>
          <w:szCs w:val="24"/>
        </w:rPr>
      </w:pPr>
    </w:p>
    <w:p w14:paraId="3E4ACF6B" w14:textId="360DF6AB" w:rsidR="001944E9" w:rsidRDefault="003262D3"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Megkezdtük a stratégiai célok megvalósulásának felmérését. Átfogóan megállításra került, hogy a kitűzött célok nagyobb részben megvalósultak, az elmaradás alapvetően annak a Kar életét alapvetően meghatározó, erre az ötéves tervidőszakra eső körülménynek tudható be, hogy a Kar az ideiglenes, Csopaki utcai Campusról visszaköltözött a felújított Ráday utcai Campusra, és az évekig különböző kollégiumokban elszállásolt hallgatóságból ismét közösséget kellett építeni, kialakítani az RFD-vel való munkamegosztást és ügymenetet. Ezt a célt jó eredménnyel sikerült megvalósítani, viszont sok energiát vont el más területekről. </w:t>
      </w:r>
    </w:p>
    <w:p w14:paraId="31A09B36" w14:textId="77777777" w:rsidR="00A42382" w:rsidRDefault="00A42382" w:rsidP="00FA2DCC">
      <w:pPr>
        <w:spacing w:after="0" w:line="280" w:lineRule="exact"/>
        <w:rPr>
          <w:rFonts w:ascii="Times New Roman" w:hAnsi="Times New Roman" w:cs="Times New Roman"/>
          <w:sz w:val="24"/>
          <w:szCs w:val="24"/>
        </w:rPr>
      </w:pPr>
    </w:p>
    <w:p w14:paraId="4BC1B9E1" w14:textId="0ADCD90D" w:rsidR="00C819CE" w:rsidRPr="00353825" w:rsidRDefault="003262D3" w:rsidP="00FA2DCC">
      <w:pPr>
        <w:spacing w:after="0" w:line="280" w:lineRule="exact"/>
        <w:rPr>
          <w:rFonts w:ascii="Times New Roman" w:hAnsi="Times New Roman" w:cs="Times New Roman"/>
          <w:i/>
          <w:iCs/>
          <w:sz w:val="24"/>
          <w:szCs w:val="24"/>
        </w:rPr>
      </w:pPr>
      <w:r w:rsidRPr="00353825">
        <w:rPr>
          <w:rFonts w:ascii="Times New Roman" w:hAnsi="Times New Roman" w:cs="Times New Roman"/>
          <w:i/>
          <w:iCs/>
          <w:sz w:val="24"/>
          <w:szCs w:val="24"/>
        </w:rPr>
        <w:t xml:space="preserve">c) A </w:t>
      </w:r>
      <w:r w:rsidR="00C819CE" w:rsidRPr="00353825">
        <w:rPr>
          <w:rFonts w:ascii="Times New Roman" w:hAnsi="Times New Roman" w:cs="Times New Roman"/>
          <w:i/>
          <w:iCs/>
          <w:sz w:val="24"/>
          <w:szCs w:val="24"/>
        </w:rPr>
        <w:t>MRE célkitűzéseihez igazodó oktatási és kutatási tevékenység</w:t>
      </w:r>
    </w:p>
    <w:p w14:paraId="18721C03" w14:textId="77777777" w:rsidR="003262D3" w:rsidRDefault="003262D3" w:rsidP="00FA2DCC">
      <w:pPr>
        <w:spacing w:after="0" w:line="280" w:lineRule="exact"/>
        <w:rPr>
          <w:rFonts w:ascii="Times New Roman" w:hAnsi="Times New Roman" w:cs="Times New Roman"/>
          <w:sz w:val="24"/>
          <w:szCs w:val="24"/>
        </w:rPr>
      </w:pPr>
    </w:p>
    <w:p w14:paraId="37DCAA52" w14:textId="22DD80BE" w:rsidR="003262D3" w:rsidRDefault="003262D3"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Az elmúlt években (2023-tól, egyévnyi megelőző szervezést és szakmai előkészítést követően) újra megindult a fenntartó szervezésével a Coetus Theologorum, a Kárpát-medencei református felsőoktatási intézmények szakmai egyeztetési fóruma, ahol a lelkészképzés tartalmi felülvizsgálatára irányuló egyeztetések zajlottak (2025 nyarán Debrecenben). Ezt a munkát a kar Hittudományi Doktori Iskolája </w:t>
      </w:r>
      <w:r w:rsidR="00353825">
        <w:rPr>
          <w:rFonts w:ascii="Times New Roman" w:hAnsi="Times New Roman" w:cs="Times New Roman"/>
          <w:sz w:val="24"/>
          <w:szCs w:val="24"/>
        </w:rPr>
        <w:t>kiemelten</w:t>
      </w:r>
      <w:r>
        <w:rPr>
          <w:rFonts w:ascii="Times New Roman" w:hAnsi="Times New Roman" w:cs="Times New Roman"/>
          <w:sz w:val="24"/>
          <w:szCs w:val="24"/>
        </w:rPr>
        <w:t xml:space="preserve"> támogatta, hiszen igy PhD-hallgatónk ezzel a kutatási témával foglalkozik, és a Coetus szervezésében is aktívan közreműködött</w:t>
      </w:r>
      <w:r w:rsidR="00353825">
        <w:rPr>
          <w:rFonts w:ascii="Times New Roman" w:hAnsi="Times New Roman" w:cs="Times New Roman"/>
          <w:sz w:val="24"/>
          <w:szCs w:val="24"/>
        </w:rPr>
        <w:t>.</w:t>
      </w:r>
    </w:p>
    <w:p w14:paraId="027B7D53" w14:textId="4AED6453" w:rsidR="00353825" w:rsidRDefault="00353825"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Ezeken túl a kar megkezdte a képzési program kari felülvizsgálatát is, melyben szorosan együttműködik a fenntartóval. </w:t>
      </w:r>
    </w:p>
    <w:p w14:paraId="5BBB6610" w14:textId="580B7752" w:rsidR="00353825" w:rsidRDefault="00353825"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b/>
        <w:t>Az MRE célkitűzéseihez igazodó kutatási tevékenység koordinálását segíti az MRE Doktorok Kollégiuma, melynek oktatóink aktív tagjai.</w:t>
      </w:r>
    </w:p>
    <w:p w14:paraId="38934202" w14:textId="77777777" w:rsidR="00A42382" w:rsidRDefault="00A42382" w:rsidP="00FA2DCC">
      <w:pPr>
        <w:spacing w:after="0" w:line="280" w:lineRule="exact"/>
        <w:rPr>
          <w:rFonts w:ascii="Times New Roman" w:hAnsi="Times New Roman" w:cs="Times New Roman"/>
          <w:sz w:val="24"/>
          <w:szCs w:val="24"/>
        </w:rPr>
      </w:pPr>
    </w:p>
    <w:p w14:paraId="0899412A" w14:textId="4418AC28" w:rsidR="00C819CE" w:rsidRPr="00353825" w:rsidRDefault="00353825" w:rsidP="00FA2DCC">
      <w:pPr>
        <w:spacing w:after="0" w:line="280" w:lineRule="exact"/>
        <w:rPr>
          <w:rFonts w:ascii="Times New Roman" w:hAnsi="Times New Roman" w:cs="Times New Roman"/>
          <w:i/>
          <w:iCs/>
          <w:sz w:val="24"/>
          <w:szCs w:val="24"/>
        </w:rPr>
      </w:pPr>
      <w:r w:rsidRPr="00353825">
        <w:rPr>
          <w:rFonts w:ascii="Times New Roman" w:hAnsi="Times New Roman" w:cs="Times New Roman"/>
          <w:i/>
          <w:iCs/>
          <w:sz w:val="24"/>
          <w:szCs w:val="24"/>
        </w:rPr>
        <w:t xml:space="preserve">d) </w:t>
      </w:r>
      <w:r w:rsidR="00C819CE" w:rsidRPr="00353825">
        <w:rPr>
          <w:rFonts w:ascii="Times New Roman" w:hAnsi="Times New Roman" w:cs="Times New Roman"/>
          <w:i/>
          <w:iCs/>
          <w:sz w:val="24"/>
          <w:szCs w:val="24"/>
        </w:rPr>
        <w:t>Nemzetközi együttműködések, a mobilitás és az idegen nyelvű képzések fejlesztése</w:t>
      </w:r>
    </w:p>
    <w:p w14:paraId="67DD7DD3" w14:textId="53787EE5" w:rsidR="00C819CE" w:rsidRDefault="00353825"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A nemzetközi együttműködések terén karunk főként a Kárpát-medencei együttműködésekben vállal kiemelkedő szerepet. </w:t>
      </w:r>
      <w:r w:rsidR="00104F2C">
        <w:rPr>
          <w:rFonts w:ascii="Times New Roman" w:hAnsi="Times New Roman" w:cs="Times New Roman"/>
          <w:sz w:val="24"/>
          <w:szCs w:val="24"/>
        </w:rPr>
        <w:t>Az idegen nyelvű képzés fejlesztése egyelőre az angol nyelvű doktori képzés folytatásában és idegen nyelvű előadások (főként a KRE-re érkező Erasmus hallgatók számára) felkínálásában merül ki. A korábban folytatott angol nyelvű teológiai képzés tanulságai arra mutattak, hogy csak alaposan kiépített kapcsolatrendszerre alapozva érdemes idegen nyelvű képzést indítani, egyébként nem lehet gazdaságosan folytatni.</w:t>
      </w:r>
    </w:p>
    <w:p w14:paraId="3D64A8F2" w14:textId="77777777" w:rsidR="00353825" w:rsidRDefault="00353825" w:rsidP="00FA2DCC">
      <w:pPr>
        <w:spacing w:after="0" w:line="280" w:lineRule="exact"/>
        <w:rPr>
          <w:rFonts w:ascii="Times New Roman" w:hAnsi="Times New Roman" w:cs="Times New Roman"/>
          <w:sz w:val="24"/>
          <w:szCs w:val="24"/>
        </w:rPr>
      </w:pPr>
    </w:p>
    <w:p w14:paraId="6E6BF536" w14:textId="4DA51CE0" w:rsidR="00C819CE" w:rsidRPr="00104F2C" w:rsidRDefault="00104F2C" w:rsidP="00FA2DCC">
      <w:pPr>
        <w:spacing w:after="0" w:line="280" w:lineRule="exact"/>
        <w:rPr>
          <w:rFonts w:ascii="Times New Roman" w:hAnsi="Times New Roman" w:cs="Times New Roman"/>
          <w:i/>
          <w:iCs/>
          <w:sz w:val="24"/>
          <w:szCs w:val="24"/>
        </w:rPr>
      </w:pPr>
      <w:r w:rsidRPr="00104F2C">
        <w:rPr>
          <w:rFonts w:ascii="Times New Roman" w:hAnsi="Times New Roman" w:cs="Times New Roman"/>
          <w:i/>
          <w:iCs/>
          <w:sz w:val="24"/>
          <w:szCs w:val="24"/>
        </w:rPr>
        <w:t xml:space="preserve">e) </w:t>
      </w:r>
      <w:r w:rsidR="00C819CE" w:rsidRPr="00104F2C">
        <w:rPr>
          <w:rFonts w:ascii="Times New Roman" w:hAnsi="Times New Roman" w:cs="Times New Roman"/>
          <w:i/>
          <w:iCs/>
          <w:sz w:val="24"/>
          <w:szCs w:val="24"/>
        </w:rPr>
        <w:t>Az oktatók MAB követelményeknek való megfelelőségének vizsgálata</w:t>
      </w:r>
    </w:p>
    <w:p w14:paraId="769A3F48" w14:textId="5D5889C5" w:rsidR="00C819CE" w:rsidRDefault="00104F2C"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Az oktatók megfelelőségét részben a Foglalkoztatási Követelményrendszer szabályozza, melynek betartásáért a kar vezetése felelős, részben a szakindítási dokumentáció</w:t>
      </w:r>
      <w:r w:rsidR="00987D9A">
        <w:rPr>
          <w:rFonts w:ascii="Times New Roman" w:hAnsi="Times New Roman" w:cs="Times New Roman"/>
          <w:sz w:val="24"/>
          <w:szCs w:val="24"/>
        </w:rPr>
        <w:t xml:space="preserve">, melynek </w:t>
      </w:r>
      <w:r w:rsidR="00987D9A">
        <w:rPr>
          <w:rFonts w:ascii="Times New Roman" w:hAnsi="Times New Roman" w:cs="Times New Roman"/>
          <w:sz w:val="24"/>
          <w:szCs w:val="24"/>
        </w:rPr>
        <w:lastRenderedPageBreak/>
        <w:t>folyamatos megvalósulásáért a szakfelelősök felelnek. Ennek hatékony működését biztosítandó szakfelelősváltás történt a hittanár-nevelőtanár szakon 2025-ben. Külső minőségbiztosítási fórumként a fenntartói jogok közé is bekerült a hitéleti képzésben oktatók és kutatók alkalmazásának jóváhagyása.</w:t>
      </w:r>
    </w:p>
    <w:p w14:paraId="25E111D0" w14:textId="052A6EED" w:rsidR="00987D9A" w:rsidRDefault="00987D9A"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b/>
        <w:t xml:space="preserve">A HTK minden eddigi akkreditációja során kiemelték az oktatók magas minősítésének arányát, ezt továbbra is biztosítja a Kar. </w:t>
      </w:r>
    </w:p>
    <w:p w14:paraId="192E9CDE" w14:textId="16C98FEC" w:rsidR="00987D9A" w:rsidRDefault="00987D9A"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ab/>
        <w:t xml:space="preserve">Az oktatói munka minőségének biztosításának egyik eleme, a hallgatói véleményezés az egyetem által biztosított OMHV kérdőívekkel karunkon a kis hallgatói létszám miatt statisztikai alapon nem jól mérhető, ezért folyamatosan keressük azokat a helyi feltételekhez szabott módszereket, ahogy a hallgatók anonim módon véleményt nyilváníthatnak az oktatói munkáról. Jelenleg a HÖK elnökön keresztül a Kari Tanács elé terjesztett vélemények működnek a leghatékonyabban. </w:t>
      </w:r>
    </w:p>
    <w:p w14:paraId="1F176B2C" w14:textId="77777777" w:rsidR="00104F2C" w:rsidRDefault="00104F2C" w:rsidP="00FA2DCC">
      <w:pPr>
        <w:spacing w:after="0" w:line="280" w:lineRule="exact"/>
        <w:rPr>
          <w:rFonts w:ascii="Times New Roman" w:hAnsi="Times New Roman" w:cs="Times New Roman"/>
          <w:sz w:val="24"/>
          <w:szCs w:val="24"/>
        </w:rPr>
      </w:pPr>
    </w:p>
    <w:p w14:paraId="77E9DBBD" w14:textId="29886A18" w:rsidR="00C819CE" w:rsidRPr="00987D9A" w:rsidRDefault="00987D9A" w:rsidP="00FA2DCC">
      <w:pPr>
        <w:spacing w:after="0" w:line="280" w:lineRule="exact"/>
        <w:rPr>
          <w:rFonts w:ascii="Times New Roman" w:hAnsi="Times New Roman" w:cs="Times New Roman"/>
          <w:i/>
          <w:iCs/>
          <w:sz w:val="24"/>
          <w:szCs w:val="24"/>
        </w:rPr>
      </w:pPr>
      <w:r w:rsidRPr="00987D9A">
        <w:rPr>
          <w:rFonts w:ascii="Times New Roman" w:hAnsi="Times New Roman" w:cs="Times New Roman"/>
          <w:i/>
          <w:iCs/>
          <w:sz w:val="24"/>
          <w:szCs w:val="24"/>
        </w:rPr>
        <w:t xml:space="preserve">f) </w:t>
      </w:r>
      <w:r w:rsidR="00C819CE" w:rsidRPr="00987D9A">
        <w:rPr>
          <w:rFonts w:ascii="Times New Roman" w:hAnsi="Times New Roman" w:cs="Times New Roman"/>
          <w:i/>
          <w:iCs/>
          <w:sz w:val="24"/>
          <w:szCs w:val="24"/>
        </w:rPr>
        <w:t>Az önértékelés és az éves értékelés rendszerének hatékony működtetése</w:t>
      </w:r>
    </w:p>
    <w:p w14:paraId="5DEBAA33" w14:textId="164D3B3B" w:rsidR="00C819CE" w:rsidRDefault="00987D9A" w:rsidP="00FA2DCC">
      <w:pPr>
        <w:spacing w:after="0" w:line="280" w:lineRule="exact"/>
        <w:rPr>
          <w:rFonts w:ascii="Times New Roman" w:hAnsi="Times New Roman" w:cs="Times New Roman"/>
          <w:sz w:val="24"/>
          <w:szCs w:val="24"/>
        </w:rPr>
      </w:pPr>
      <w:r>
        <w:rPr>
          <w:rFonts w:ascii="Times New Roman" w:hAnsi="Times New Roman" w:cs="Times New Roman"/>
          <w:sz w:val="24"/>
          <w:szCs w:val="24"/>
        </w:rPr>
        <w:t>Lásd a következő pontnál.</w:t>
      </w:r>
    </w:p>
    <w:p w14:paraId="53EF96D1" w14:textId="77777777" w:rsidR="00C819CE" w:rsidRDefault="00C819CE" w:rsidP="00FA2DCC">
      <w:pPr>
        <w:spacing w:after="0" w:line="280" w:lineRule="exact"/>
        <w:rPr>
          <w:rFonts w:ascii="Times New Roman" w:hAnsi="Times New Roman" w:cs="Times New Roman"/>
          <w:sz w:val="24"/>
          <w:szCs w:val="24"/>
        </w:rPr>
      </w:pPr>
    </w:p>
    <w:p w14:paraId="3F358A8D" w14:textId="77777777" w:rsidR="00C819CE" w:rsidRDefault="00C819CE" w:rsidP="00FA2DCC">
      <w:pPr>
        <w:spacing w:after="0" w:line="280" w:lineRule="exact"/>
        <w:rPr>
          <w:rFonts w:ascii="Times New Roman" w:hAnsi="Times New Roman" w:cs="Times New Roman"/>
          <w:sz w:val="24"/>
          <w:szCs w:val="24"/>
        </w:rPr>
      </w:pPr>
    </w:p>
    <w:p w14:paraId="306DAF2E" w14:textId="27AD8834" w:rsidR="00604D64" w:rsidRDefault="00FA2DCC" w:rsidP="00FA2DCC">
      <w:pPr>
        <w:spacing w:after="0" w:line="280" w:lineRule="exact"/>
        <w:rPr>
          <w:rFonts w:ascii="Times New Roman" w:hAnsi="Times New Roman" w:cs="Times New Roman"/>
          <w:b/>
          <w:bCs/>
          <w:sz w:val="24"/>
          <w:szCs w:val="24"/>
        </w:rPr>
      </w:pPr>
      <w:r w:rsidRPr="00C819CE">
        <w:rPr>
          <w:rFonts w:ascii="Times New Roman" w:hAnsi="Times New Roman" w:cs="Times New Roman"/>
          <w:b/>
          <w:bCs/>
          <w:sz w:val="24"/>
          <w:szCs w:val="24"/>
        </w:rPr>
        <w:t>10. Intézkedési és fejlesztési javaslatok</w:t>
      </w:r>
    </w:p>
    <w:p w14:paraId="300D58B0" w14:textId="77777777" w:rsidR="00987D9A" w:rsidRDefault="00987D9A" w:rsidP="00FA2DCC">
      <w:pPr>
        <w:spacing w:after="0" w:line="280" w:lineRule="exact"/>
        <w:rPr>
          <w:rFonts w:ascii="Times New Roman" w:hAnsi="Times New Roman" w:cs="Times New Roman"/>
          <w:sz w:val="24"/>
          <w:szCs w:val="24"/>
        </w:rPr>
      </w:pPr>
    </w:p>
    <w:p w14:paraId="7CB9E00F" w14:textId="77777777" w:rsidR="00DE091C" w:rsidRDefault="00987D9A" w:rsidP="00987D9A">
      <w:pPr>
        <w:spacing w:after="0" w:line="280" w:lineRule="exact"/>
        <w:rPr>
          <w:rFonts w:ascii="Times New Roman" w:hAnsi="Times New Roman" w:cs="Times New Roman"/>
          <w:sz w:val="24"/>
          <w:szCs w:val="24"/>
        </w:rPr>
      </w:pPr>
      <w:r>
        <w:rPr>
          <w:rFonts w:ascii="Times New Roman" w:hAnsi="Times New Roman" w:cs="Times New Roman"/>
          <w:sz w:val="24"/>
          <w:szCs w:val="24"/>
        </w:rPr>
        <w:t>Az önértékelés és az éves értékelés az Egyetem által szabályozott módon történik, de a hatékonysága nem biztos, hogy arányos a ráfordított munkával. A tanévr</w:t>
      </w:r>
      <w:r w:rsidR="00DE091C">
        <w:rPr>
          <w:rFonts w:ascii="Times New Roman" w:hAnsi="Times New Roman" w:cs="Times New Roman"/>
          <w:sz w:val="24"/>
          <w:szCs w:val="24"/>
        </w:rPr>
        <w:t>e</w:t>
      </w:r>
      <w:r>
        <w:rPr>
          <w:rFonts w:ascii="Times New Roman" w:hAnsi="Times New Roman" w:cs="Times New Roman"/>
          <w:sz w:val="24"/>
          <w:szCs w:val="24"/>
        </w:rPr>
        <w:t xml:space="preserve"> vonatkozó </w:t>
      </w:r>
      <w:r w:rsidR="00DE091C">
        <w:rPr>
          <w:rFonts w:ascii="Times New Roman" w:hAnsi="Times New Roman" w:cs="Times New Roman"/>
          <w:sz w:val="24"/>
          <w:szCs w:val="24"/>
        </w:rPr>
        <w:t xml:space="preserve">évenkénti </w:t>
      </w:r>
      <w:r>
        <w:rPr>
          <w:rFonts w:ascii="Times New Roman" w:hAnsi="Times New Roman" w:cs="Times New Roman"/>
          <w:sz w:val="24"/>
          <w:szCs w:val="24"/>
        </w:rPr>
        <w:t xml:space="preserve">szakos értékelések </w:t>
      </w:r>
      <w:r w:rsidR="00DE091C">
        <w:rPr>
          <w:rFonts w:ascii="Times New Roman" w:hAnsi="Times New Roman" w:cs="Times New Roman"/>
          <w:sz w:val="24"/>
          <w:szCs w:val="24"/>
        </w:rPr>
        <w:t xml:space="preserve">sok ponton átfedésben vannak a naptári évre vonatkozó kari önértékeléssel, ugyanakkor alig harmonizálhatók a Doktori Iskola éves önértékelésével és a Doktori Minőségbiztosítás éves értékelésével.  </w:t>
      </w:r>
    </w:p>
    <w:p w14:paraId="7286DD31" w14:textId="2B0EA907" w:rsidR="00A13E87" w:rsidRDefault="00DE091C" w:rsidP="00987D9A">
      <w:pPr>
        <w:spacing w:after="0" w:line="280" w:lineRule="exact"/>
        <w:rPr>
          <w:rFonts w:ascii="Times New Roman" w:hAnsi="Times New Roman" w:cs="Times New Roman"/>
          <w:sz w:val="24"/>
          <w:szCs w:val="24"/>
        </w:rPr>
      </w:pPr>
      <w:r>
        <w:rPr>
          <w:rFonts w:ascii="Times New Roman" w:hAnsi="Times New Roman" w:cs="Times New Roman"/>
          <w:sz w:val="24"/>
          <w:szCs w:val="24"/>
        </w:rPr>
        <w:tab/>
        <w:t xml:space="preserve">A HTK esetében az oktatókra, a kutatásra, a nemzetközi kapcsolatokra, tanulástámogatásra, információkezelésre vonatkozó adatok, értékelések kari szinten vannak nyilvántartva, és nem bonthatók le szakokra, vagy képzési szintekre. Az értékelésben jelzett módon igen nagy szerepe van az oktatás minőségében az oktató személyének, személyes kapcsolatrendszerének, mely nem mérhető együttműködési szerződésekben. Jó lenne olyan minőségértékelési eljárást is találni, amely alkalmasabb az oktató személyének értékelésére. Emellett a Kar életében </w:t>
      </w:r>
      <w:r w:rsidR="00A13E87">
        <w:rPr>
          <w:rFonts w:ascii="Times New Roman" w:hAnsi="Times New Roman" w:cs="Times New Roman"/>
          <w:sz w:val="24"/>
          <w:szCs w:val="24"/>
        </w:rPr>
        <w:t>meglehetősen eltérő képességeket igénylő feladatok vannak (szakértői, adminisztrációs, vezetői, oktatói, kutatói, kommunikációs, közösségteremtő, stb) melyek egy kislétszámú Kar esetén nem külön-külön munkakörben valósulnak meg, hanem az oktatók vállalnak fel a Kar érdekében olyan nem oktatási feladatokat, melyek csak nehezen mérhetők, még kevésbé hasonlíthatók össze egymással (nem is beszélve az egy életpályán belül lezajló változásokról, személyes életutakról). Ezek a minőségértékelések mintha „vakok” lennének az ilyen természetes munkamegosztásra.</w:t>
      </w:r>
    </w:p>
    <w:p w14:paraId="0E7220E4" w14:textId="53BD41FF" w:rsidR="00987D9A" w:rsidRDefault="00A13E87" w:rsidP="00987D9A">
      <w:pPr>
        <w:spacing w:after="0" w:line="280" w:lineRule="exact"/>
        <w:rPr>
          <w:rFonts w:ascii="Times New Roman" w:hAnsi="Times New Roman" w:cs="Times New Roman"/>
          <w:sz w:val="24"/>
          <w:szCs w:val="24"/>
        </w:rPr>
      </w:pPr>
      <w:r>
        <w:rPr>
          <w:rFonts w:ascii="Times New Roman" w:hAnsi="Times New Roman" w:cs="Times New Roman"/>
          <w:sz w:val="24"/>
          <w:szCs w:val="24"/>
        </w:rPr>
        <w:tab/>
        <w:t>A HTK-n a tanszékvezetők és a Kar vezetése igyekszik tekintetbe venni ezeket a szempontokat is az oktatók és a nem oktató munkavállalók értékelésében, de ezek egy éves értékelésben nem vagy nehezen írhatók le. (Például hogy a 2025-ös év a Dékáni Hivatalban hivatalvezető nélkül telt el, a munkatársakra jelentős többletterhet róva.)</w:t>
      </w:r>
    </w:p>
    <w:p w14:paraId="0CBA23CB" w14:textId="77777777" w:rsidR="00A13E87" w:rsidRDefault="00A13E87" w:rsidP="00987D9A">
      <w:pPr>
        <w:spacing w:after="0" w:line="280" w:lineRule="exact"/>
        <w:rPr>
          <w:rFonts w:ascii="Times New Roman" w:hAnsi="Times New Roman" w:cs="Times New Roman"/>
          <w:sz w:val="24"/>
          <w:szCs w:val="24"/>
        </w:rPr>
      </w:pPr>
    </w:p>
    <w:p w14:paraId="29C08BCD" w14:textId="568E895D" w:rsidR="00A13E87" w:rsidRDefault="00A13E87" w:rsidP="00987D9A">
      <w:pPr>
        <w:spacing w:after="0" w:line="280" w:lineRule="exact"/>
        <w:rPr>
          <w:rFonts w:ascii="Times New Roman" w:hAnsi="Times New Roman" w:cs="Times New Roman"/>
          <w:sz w:val="24"/>
          <w:szCs w:val="24"/>
        </w:rPr>
      </w:pPr>
      <w:r>
        <w:rPr>
          <w:rFonts w:ascii="Times New Roman" w:hAnsi="Times New Roman" w:cs="Times New Roman"/>
          <w:sz w:val="24"/>
          <w:szCs w:val="24"/>
        </w:rPr>
        <w:t>Budapest, 2026. február 27.</w:t>
      </w:r>
    </w:p>
    <w:p w14:paraId="57CF8A42" w14:textId="77777777" w:rsidR="00A13E87" w:rsidRDefault="00A13E87" w:rsidP="00987D9A">
      <w:pPr>
        <w:spacing w:after="0" w:line="280" w:lineRule="exact"/>
        <w:rPr>
          <w:rFonts w:ascii="Times New Roman" w:hAnsi="Times New Roman" w:cs="Times New Roman"/>
          <w:sz w:val="24"/>
          <w:szCs w:val="24"/>
        </w:rPr>
      </w:pPr>
    </w:p>
    <w:p w14:paraId="75D609A0" w14:textId="74790768" w:rsidR="00A13E87" w:rsidRDefault="00A13E87" w:rsidP="00A13E87">
      <w:pPr>
        <w:spacing w:after="0" w:line="280" w:lineRule="exact"/>
        <w:ind w:left="3692"/>
        <w:jc w:val="center"/>
        <w:rPr>
          <w:rFonts w:ascii="Times New Roman" w:hAnsi="Times New Roman" w:cs="Times New Roman"/>
          <w:sz w:val="24"/>
          <w:szCs w:val="24"/>
        </w:rPr>
      </w:pPr>
      <w:r>
        <w:rPr>
          <w:rFonts w:ascii="Times New Roman" w:hAnsi="Times New Roman" w:cs="Times New Roman"/>
          <w:sz w:val="24"/>
          <w:szCs w:val="24"/>
        </w:rPr>
        <w:t>dr. Hanula Gergely sk.</w:t>
      </w:r>
    </w:p>
    <w:p w14:paraId="25FEE8E4" w14:textId="3F392F25" w:rsidR="008A7EF1" w:rsidRDefault="008A7EF1" w:rsidP="00A13E87">
      <w:pPr>
        <w:spacing w:after="0" w:line="280" w:lineRule="exact"/>
        <w:ind w:left="3692"/>
        <w:jc w:val="center"/>
        <w:rPr>
          <w:rFonts w:ascii="Times New Roman" w:hAnsi="Times New Roman" w:cs="Times New Roman"/>
          <w:sz w:val="24"/>
          <w:szCs w:val="24"/>
        </w:rPr>
      </w:pPr>
      <w:r>
        <w:rPr>
          <w:rFonts w:ascii="Times New Roman" w:hAnsi="Times New Roman" w:cs="Times New Roman"/>
          <w:sz w:val="24"/>
          <w:szCs w:val="24"/>
        </w:rPr>
        <w:t>e. tanár</w:t>
      </w:r>
    </w:p>
    <w:p w14:paraId="533EF741" w14:textId="51435DA9" w:rsidR="00A13E87" w:rsidRDefault="00A13E87" w:rsidP="00A13E87">
      <w:pPr>
        <w:spacing w:after="0" w:line="280" w:lineRule="exact"/>
        <w:ind w:left="3692"/>
        <w:jc w:val="center"/>
        <w:rPr>
          <w:rFonts w:ascii="Times New Roman" w:hAnsi="Times New Roman" w:cs="Times New Roman"/>
          <w:sz w:val="24"/>
          <w:szCs w:val="24"/>
        </w:rPr>
      </w:pPr>
      <w:r>
        <w:rPr>
          <w:rFonts w:ascii="Times New Roman" w:hAnsi="Times New Roman" w:cs="Times New Roman"/>
          <w:sz w:val="24"/>
          <w:szCs w:val="24"/>
        </w:rPr>
        <w:t>kari minőségbiztosítási vezető</w:t>
      </w:r>
    </w:p>
    <w:p w14:paraId="07F64999" w14:textId="5B90B5C9" w:rsidR="00987D9A" w:rsidRPr="00987D9A" w:rsidRDefault="00A13E87" w:rsidP="00A13E87">
      <w:pPr>
        <w:spacing w:after="0" w:line="280" w:lineRule="exact"/>
        <w:ind w:left="3692"/>
        <w:jc w:val="center"/>
        <w:rPr>
          <w:rFonts w:ascii="Times New Roman" w:hAnsi="Times New Roman" w:cs="Times New Roman"/>
          <w:sz w:val="24"/>
          <w:szCs w:val="24"/>
        </w:rPr>
      </w:pPr>
      <w:r>
        <w:rPr>
          <w:rFonts w:ascii="Times New Roman" w:hAnsi="Times New Roman" w:cs="Times New Roman"/>
          <w:sz w:val="24"/>
          <w:szCs w:val="24"/>
        </w:rPr>
        <w:t>dékánhelyettes</w:t>
      </w:r>
    </w:p>
    <w:sectPr w:rsidR="00987D9A" w:rsidRPr="00987D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38BE" w14:textId="77777777" w:rsidR="0020372D" w:rsidRDefault="0020372D" w:rsidP="005E3184">
      <w:pPr>
        <w:spacing w:after="0" w:line="240" w:lineRule="auto"/>
      </w:pPr>
      <w:r>
        <w:separator/>
      </w:r>
    </w:p>
  </w:endnote>
  <w:endnote w:type="continuationSeparator" w:id="0">
    <w:p w14:paraId="4312B85A" w14:textId="77777777" w:rsidR="0020372D" w:rsidRDefault="0020372D" w:rsidP="005E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008816"/>
      <w:docPartObj>
        <w:docPartGallery w:val="Page Numbers (Bottom of Page)"/>
        <w:docPartUnique/>
      </w:docPartObj>
    </w:sdtPr>
    <w:sdtContent>
      <w:p w14:paraId="27D91FDC" w14:textId="687B74D6" w:rsidR="005E3184" w:rsidRDefault="005E3184">
        <w:pPr>
          <w:pStyle w:val="llb"/>
          <w:jc w:val="center"/>
        </w:pPr>
        <w:r>
          <w:fldChar w:fldCharType="begin"/>
        </w:r>
        <w:r>
          <w:instrText>PAGE   \* MERGEFORMAT</w:instrText>
        </w:r>
        <w:r>
          <w:fldChar w:fldCharType="separate"/>
        </w:r>
        <w:r>
          <w:t>2</w:t>
        </w:r>
        <w:r>
          <w:fldChar w:fldCharType="end"/>
        </w:r>
      </w:p>
    </w:sdtContent>
  </w:sdt>
  <w:p w14:paraId="69A53520" w14:textId="77777777" w:rsidR="005E3184" w:rsidRDefault="005E31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5034" w14:textId="77777777" w:rsidR="0020372D" w:rsidRDefault="0020372D" w:rsidP="005E3184">
      <w:pPr>
        <w:spacing w:after="0" w:line="240" w:lineRule="auto"/>
      </w:pPr>
      <w:r>
        <w:separator/>
      </w:r>
    </w:p>
  </w:footnote>
  <w:footnote w:type="continuationSeparator" w:id="0">
    <w:p w14:paraId="1387FE83" w14:textId="77777777" w:rsidR="0020372D" w:rsidRDefault="0020372D" w:rsidP="005E3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6AF"/>
    <w:multiLevelType w:val="hybridMultilevel"/>
    <w:tmpl w:val="DB54C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E1111E"/>
    <w:multiLevelType w:val="hybridMultilevel"/>
    <w:tmpl w:val="B5DAFE42"/>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136A06C7"/>
    <w:multiLevelType w:val="hybridMultilevel"/>
    <w:tmpl w:val="6F7C8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79062A"/>
    <w:multiLevelType w:val="hybridMultilevel"/>
    <w:tmpl w:val="3AC277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D463310"/>
    <w:multiLevelType w:val="hybridMultilevel"/>
    <w:tmpl w:val="3C38A2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23529F6"/>
    <w:multiLevelType w:val="hybridMultilevel"/>
    <w:tmpl w:val="0A4C83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F4D602C"/>
    <w:multiLevelType w:val="hybridMultilevel"/>
    <w:tmpl w:val="9CBA3D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1255583"/>
    <w:multiLevelType w:val="hybridMultilevel"/>
    <w:tmpl w:val="900806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6415703">
    <w:abstractNumId w:val="2"/>
  </w:num>
  <w:num w:numId="2" w16cid:durableId="288316698">
    <w:abstractNumId w:val="7"/>
  </w:num>
  <w:num w:numId="3" w16cid:durableId="317659514">
    <w:abstractNumId w:val="3"/>
  </w:num>
  <w:num w:numId="4" w16cid:durableId="969215167">
    <w:abstractNumId w:val="4"/>
  </w:num>
  <w:num w:numId="5" w16cid:durableId="421730000">
    <w:abstractNumId w:val="1"/>
  </w:num>
  <w:num w:numId="6" w16cid:durableId="563415628">
    <w:abstractNumId w:val="5"/>
  </w:num>
  <w:num w:numId="7" w16cid:durableId="2127194247">
    <w:abstractNumId w:val="6"/>
  </w:num>
  <w:num w:numId="8" w16cid:durableId="56167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CC"/>
    <w:rsid w:val="0001583C"/>
    <w:rsid w:val="000434E3"/>
    <w:rsid w:val="00056CAC"/>
    <w:rsid w:val="00062D15"/>
    <w:rsid w:val="000A1E54"/>
    <w:rsid w:val="00104F2C"/>
    <w:rsid w:val="00175277"/>
    <w:rsid w:val="001944E9"/>
    <w:rsid w:val="001C2304"/>
    <w:rsid w:val="0020372D"/>
    <w:rsid w:val="00241075"/>
    <w:rsid w:val="003262D3"/>
    <w:rsid w:val="003406A8"/>
    <w:rsid w:val="00353825"/>
    <w:rsid w:val="003B3806"/>
    <w:rsid w:val="003F58B4"/>
    <w:rsid w:val="00462D94"/>
    <w:rsid w:val="00483593"/>
    <w:rsid w:val="00485483"/>
    <w:rsid w:val="004D7756"/>
    <w:rsid w:val="00504C1C"/>
    <w:rsid w:val="00515454"/>
    <w:rsid w:val="00547646"/>
    <w:rsid w:val="005816E4"/>
    <w:rsid w:val="00585A9F"/>
    <w:rsid w:val="005E116E"/>
    <w:rsid w:val="005E3184"/>
    <w:rsid w:val="00604D64"/>
    <w:rsid w:val="006859E5"/>
    <w:rsid w:val="007140EB"/>
    <w:rsid w:val="0075052B"/>
    <w:rsid w:val="007D2203"/>
    <w:rsid w:val="00873DD1"/>
    <w:rsid w:val="008A7EF1"/>
    <w:rsid w:val="00906207"/>
    <w:rsid w:val="00960E1E"/>
    <w:rsid w:val="00987D9A"/>
    <w:rsid w:val="009B443F"/>
    <w:rsid w:val="00A138E8"/>
    <w:rsid w:val="00A13E87"/>
    <w:rsid w:val="00A42382"/>
    <w:rsid w:val="00A5307C"/>
    <w:rsid w:val="00A94664"/>
    <w:rsid w:val="00B55969"/>
    <w:rsid w:val="00B66A86"/>
    <w:rsid w:val="00B66A91"/>
    <w:rsid w:val="00B861AD"/>
    <w:rsid w:val="00B92361"/>
    <w:rsid w:val="00C006B2"/>
    <w:rsid w:val="00C03D27"/>
    <w:rsid w:val="00C609C8"/>
    <w:rsid w:val="00C819CE"/>
    <w:rsid w:val="00C91E03"/>
    <w:rsid w:val="00CB50D7"/>
    <w:rsid w:val="00DC727A"/>
    <w:rsid w:val="00DE091C"/>
    <w:rsid w:val="00F66353"/>
    <w:rsid w:val="00F66CD9"/>
    <w:rsid w:val="00FA2D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C5F0"/>
  <w15:chartTrackingRefBased/>
  <w15:docId w15:val="{094D814F-8026-4E5E-BB79-EA6D6963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60E1E"/>
  </w:style>
  <w:style w:type="paragraph" w:styleId="Cmsor1">
    <w:name w:val="heading 1"/>
    <w:basedOn w:val="Norml"/>
    <w:next w:val="Norml"/>
    <w:link w:val="Cmsor1Char"/>
    <w:uiPriority w:val="9"/>
    <w:qFormat/>
    <w:rsid w:val="00FA2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A2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A2DC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A2DC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A2DC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A2DC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A2DC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A2DC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A2DC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A2DC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A2DC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A2DC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A2DC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A2DC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A2DC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A2DC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A2DC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A2DCC"/>
    <w:rPr>
      <w:rFonts w:eastAsiaTheme="majorEastAsia" w:cstheme="majorBidi"/>
      <w:color w:val="272727" w:themeColor="text1" w:themeTint="D8"/>
    </w:rPr>
  </w:style>
  <w:style w:type="paragraph" w:styleId="Cm">
    <w:name w:val="Title"/>
    <w:basedOn w:val="Norml"/>
    <w:next w:val="Norml"/>
    <w:link w:val="CmChar"/>
    <w:uiPriority w:val="10"/>
    <w:qFormat/>
    <w:rsid w:val="00FA2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A2DC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A2DC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A2DC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A2DCC"/>
    <w:pPr>
      <w:spacing w:before="160"/>
      <w:jc w:val="center"/>
    </w:pPr>
    <w:rPr>
      <w:i/>
      <w:iCs/>
      <w:color w:val="404040" w:themeColor="text1" w:themeTint="BF"/>
    </w:rPr>
  </w:style>
  <w:style w:type="character" w:customStyle="1" w:styleId="IdzetChar">
    <w:name w:val="Idézet Char"/>
    <w:basedOn w:val="Bekezdsalapbettpusa"/>
    <w:link w:val="Idzet"/>
    <w:uiPriority w:val="29"/>
    <w:rsid w:val="00FA2DCC"/>
    <w:rPr>
      <w:i/>
      <w:iCs/>
      <w:color w:val="404040" w:themeColor="text1" w:themeTint="BF"/>
    </w:rPr>
  </w:style>
  <w:style w:type="paragraph" w:styleId="Listaszerbekezds">
    <w:name w:val="List Paragraph"/>
    <w:aliases w:val="lista_2"/>
    <w:basedOn w:val="Norml"/>
    <w:link w:val="ListaszerbekezdsChar"/>
    <w:uiPriority w:val="34"/>
    <w:qFormat/>
    <w:rsid w:val="00FA2DCC"/>
    <w:pPr>
      <w:ind w:left="720"/>
      <w:contextualSpacing/>
    </w:pPr>
  </w:style>
  <w:style w:type="character" w:styleId="Erskiemels">
    <w:name w:val="Intense Emphasis"/>
    <w:basedOn w:val="Bekezdsalapbettpusa"/>
    <w:uiPriority w:val="21"/>
    <w:qFormat/>
    <w:rsid w:val="00FA2DCC"/>
    <w:rPr>
      <w:i/>
      <w:iCs/>
      <w:color w:val="0F4761" w:themeColor="accent1" w:themeShade="BF"/>
    </w:rPr>
  </w:style>
  <w:style w:type="paragraph" w:styleId="Kiemeltidzet">
    <w:name w:val="Intense Quote"/>
    <w:basedOn w:val="Norml"/>
    <w:next w:val="Norml"/>
    <w:link w:val="KiemeltidzetChar"/>
    <w:uiPriority w:val="30"/>
    <w:qFormat/>
    <w:rsid w:val="00FA2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A2DCC"/>
    <w:rPr>
      <w:i/>
      <w:iCs/>
      <w:color w:val="0F4761" w:themeColor="accent1" w:themeShade="BF"/>
    </w:rPr>
  </w:style>
  <w:style w:type="character" w:styleId="Ershivatkozs">
    <w:name w:val="Intense Reference"/>
    <w:basedOn w:val="Bekezdsalapbettpusa"/>
    <w:uiPriority w:val="32"/>
    <w:qFormat/>
    <w:rsid w:val="00FA2DCC"/>
    <w:rPr>
      <w:b/>
      <w:bCs/>
      <w:smallCaps/>
      <w:color w:val="0F4761" w:themeColor="accent1" w:themeShade="BF"/>
      <w:spacing w:val="5"/>
    </w:rPr>
  </w:style>
  <w:style w:type="character" w:customStyle="1" w:styleId="ListaszerbekezdsChar">
    <w:name w:val="Listaszerű bekezdés Char"/>
    <w:aliases w:val="lista_2 Char"/>
    <w:basedOn w:val="Bekezdsalapbettpusa"/>
    <w:link w:val="Listaszerbekezds"/>
    <w:uiPriority w:val="34"/>
    <w:rsid w:val="00462D94"/>
  </w:style>
  <w:style w:type="character" w:styleId="Hiperhivatkozs">
    <w:name w:val="Hyperlink"/>
    <w:basedOn w:val="Bekezdsalapbettpusa"/>
    <w:uiPriority w:val="99"/>
    <w:unhideWhenUsed/>
    <w:rsid w:val="001C2304"/>
    <w:rPr>
      <w:color w:val="467886" w:themeColor="hyperlink"/>
      <w:u w:val="single"/>
    </w:rPr>
  </w:style>
  <w:style w:type="paragraph" w:styleId="lfej">
    <w:name w:val="header"/>
    <w:basedOn w:val="Norml"/>
    <w:link w:val="lfejChar"/>
    <w:uiPriority w:val="99"/>
    <w:unhideWhenUsed/>
    <w:rsid w:val="005E3184"/>
    <w:pPr>
      <w:tabs>
        <w:tab w:val="center" w:pos="4536"/>
        <w:tab w:val="right" w:pos="9072"/>
      </w:tabs>
      <w:spacing w:after="0" w:line="240" w:lineRule="auto"/>
    </w:pPr>
  </w:style>
  <w:style w:type="character" w:customStyle="1" w:styleId="lfejChar">
    <w:name w:val="Élőfej Char"/>
    <w:basedOn w:val="Bekezdsalapbettpusa"/>
    <w:link w:val="lfej"/>
    <w:uiPriority w:val="99"/>
    <w:rsid w:val="005E3184"/>
  </w:style>
  <w:style w:type="paragraph" w:styleId="llb">
    <w:name w:val="footer"/>
    <w:basedOn w:val="Norml"/>
    <w:link w:val="llbChar"/>
    <w:uiPriority w:val="99"/>
    <w:unhideWhenUsed/>
    <w:rsid w:val="005E3184"/>
    <w:pPr>
      <w:tabs>
        <w:tab w:val="center" w:pos="4536"/>
        <w:tab w:val="right" w:pos="9072"/>
      </w:tabs>
      <w:spacing w:after="0" w:line="240" w:lineRule="auto"/>
    </w:pPr>
  </w:style>
  <w:style w:type="character" w:customStyle="1" w:styleId="llbChar">
    <w:name w:val="Élőláb Char"/>
    <w:basedOn w:val="Bekezdsalapbettpusa"/>
    <w:link w:val="llb"/>
    <w:uiPriority w:val="99"/>
    <w:rsid w:val="005E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tk.kre.hu/images/doc/hok/2024_HOK_Alapszabal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2441</Words>
  <Characters>16849</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Hanula Gergely</dc:creator>
  <cp:keywords/>
  <dc:description/>
  <cp:lastModifiedBy>Hanula Gergely</cp:lastModifiedBy>
  <cp:revision>16</cp:revision>
  <dcterms:created xsi:type="dcterms:W3CDTF">2026-01-23T07:35:00Z</dcterms:created>
  <dcterms:modified xsi:type="dcterms:W3CDTF">2026-02-28T15:10:00Z</dcterms:modified>
</cp:coreProperties>
</file>